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52" w:rsidRDefault="007A5D91" w:rsidP="007A5D91">
      <w:r w:rsidRPr="00D83D44">
        <w:rPr>
          <w:noProof/>
          <w:lang w:eastAsia="pl-PL"/>
        </w:rPr>
        <w:drawing>
          <wp:inline distT="0" distB="0" distL="0" distR="0" wp14:anchorId="418ABAF6" wp14:editId="26AD8C3D">
            <wp:extent cx="4069080" cy="4419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069">
        <w:rPr>
          <w:rFonts w:cstheme="minorHAnsi"/>
        </w:rPr>
        <w:t xml:space="preserve"> </w:t>
      </w:r>
    </w:p>
    <w:p w:rsidR="00231C52" w:rsidRDefault="00231C52">
      <w:pPr>
        <w:rPr>
          <w:rFonts w:cstheme="minorHAnsi"/>
        </w:rPr>
      </w:pPr>
    </w:p>
    <w:p w:rsidR="007A5D91" w:rsidRPr="00C66973" w:rsidRDefault="007A5D91" w:rsidP="007A5D91">
      <w:pPr>
        <w:pStyle w:val="Tekstpodstawowy"/>
        <w:ind w:left="4956"/>
        <w:rPr>
          <w:rFonts w:ascii="Arial" w:hAnsi="Arial" w:cs="Arial"/>
          <w:bCs/>
          <w:iCs/>
          <w:sz w:val="20"/>
          <w:szCs w:val="20"/>
          <w:vertAlign w:val="baseline"/>
        </w:rPr>
      </w:pP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 xml:space="preserve">Załącznik do Uchwały nr  </w:t>
      </w:r>
      <w:r w:rsidR="00372238">
        <w:rPr>
          <w:rFonts w:ascii="Arial" w:hAnsi="Arial" w:cs="Arial"/>
          <w:bCs/>
          <w:iCs/>
          <w:sz w:val="20"/>
          <w:szCs w:val="20"/>
          <w:vertAlign w:val="baseline"/>
        </w:rPr>
        <w:t>12</w:t>
      </w: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 xml:space="preserve"> / </w:t>
      </w:r>
      <w:r w:rsidR="00372238">
        <w:rPr>
          <w:rFonts w:ascii="Arial" w:hAnsi="Arial" w:cs="Arial"/>
          <w:bCs/>
          <w:iCs/>
          <w:sz w:val="20"/>
          <w:szCs w:val="20"/>
          <w:vertAlign w:val="baseline"/>
        </w:rPr>
        <w:t>33</w:t>
      </w: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/</w:t>
      </w:r>
      <w:r w:rsidR="00217410" w:rsidRPr="00C66973">
        <w:rPr>
          <w:rFonts w:ascii="Arial" w:hAnsi="Arial" w:cs="Arial"/>
          <w:bCs/>
          <w:iCs/>
          <w:sz w:val="20"/>
          <w:szCs w:val="20"/>
          <w:vertAlign w:val="baseline"/>
        </w:rPr>
        <w:t>V</w:t>
      </w:r>
      <w:r w:rsidR="00AB3635">
        <w:rPr>
          <w:rFonts w:ascii="Arial" w:hAnsi="Arial" w:cs="Arial"/>
          <w:bCs/>
          <w:iCs/>
          <w:sz w:val="20"/>
          <w:szCs w:val="20"/>
          <w:vertAlign w:val="baseline"/>
        </w:rPr>
        <w:t>III</w:t>
      </w: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/2021</w:t>
      </w:r>
    </w:p>
    <w:p w:rsidR="007A5D91" w:rsidRPr="00C66973" w:rsidRDefault="007A5D91" w:rsidP="007A5D91">
      <w:pPr>
        <w:pStyle w:val="Tekstpodstawowy"/>
        <w:ind w:left="4248" w:firstLine="708"/>
        <w:rPr>
          <w:rFonts w:ascii="Arial" w:hAnsi="Arial" w:cs="Arial"/>
          <w:bCs/>
          <w:iCs/>
          <w:sz w:val="20"/>
          <w:szCs w:val="20"/>
          <w:vertAlign w:val="baseline"/>
        </w:rPr>
      </w:pP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Zarządu O.K . Banku Spółdzielczego</w:t>
      </w:r>
    </w:p>
    <w:p w:rsidR="007A5D91" w:rsidRPr="00C66973" w:rsidRDefault="007A5D91" w:rsidP="007A5D91">
      <w:pPr>
        <w:pStyle w:val="Tekstpodstawowy"/>
        <w:ind w:left="4956"/>
        <w:rPr>
          <w:rFonts w:ascii="Arial" w:hAnsi="Arial" w:cs="Arial"/>
          <w:bCs/>
          <w:iCs/>
          <w:sz w:val="20"/>
          <w:szCs w:val="20"/>
          <w:vertAlign w:val="baseline"/>
        </w:rPr>
      </w:pP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z dnia</w:t>
      </w:r>
      <w:r w:rsidR="00C66973">
        <w:rPr>
          <w:rFonts w:ascii="Arial" w:hAnsi="Arial" w:cs="Arial"/>
          <w:bCs/>
          <w:iCs/>
          <w:sz w:val="20"/>
          <w:szCs w:val="20"/>
          <w:vertAlign w:val="baseline"/>
        </w:rPr>
        <w:t xml:space="preserve"> 10.06.2021</w:t>
      </w: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r.</w:t>
      </w:r>
    </w:p>
    <w:p w:rsidR="007A5D91" w:rsidRPr="00C66973" w:rsidRDefault="007A5D91" w:rsidP="007A5D91">
      <w:pPr>
        <w:rPr>
          <w:rFonts w:ascii="Arial" w:hAnsi="Arial" w:cs="Arial"/>
          <w:bCs/>
          <w:sz w:val="20"/>
          <w:szCs w:val="20"/>
        </w:rPr>
      </w:pPr>
    </w:p>
    <w:p w:rsidR="007A5D91" w:rsidRPr="00C66973" w:rsidRDefault="007A5D91" w:rsidP="007A5D91">
      <w:pPr>
        <w:pStyle w:val="Tekstpodstawowy"/>
        <w:ind w:left="4344" w:firstLine="618"/>
        <w:rPr>
          <w:rFonts w:ascii="Arial" w:hAnsi="Arial" w:cs="Arial"/>
          <w:bCs/>
          <w:iCs/>
          <w:sz w:val="20"/>
          <w:szCs w:val="20"/>
          <w:vertAlign w:val="baseline"/>
        </w:rPr>
      </w:pP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 xml:space="preserve">Załącznik do Uchwały Nr </w:t>
      </w:r>
      <w:r w:rsidR="00E851B0">
        <w:rPr>
          <w:rFonts w:ascii="Arial" w:hAnsi="Arial" w:cs="Arial"/>
          <w:bCs/>
          <w:iCs/>
          <w:sz w:val="20"/>
          <w:szCs w:val="20"/>
          <w:vertAlign w:val="baseline"/>
        </w:rPr>
        <w:t xml:space="preserve">4 </w:t>
      </w: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/</w:t>
      </w:r>
      <w:r w:rsidR="00E851B0">
        <w:rPr>
          <w:rFonts w:ascii="Arial" w:hAnsi="Arial" w:cs="Arial"/>
          <w:bCs/>
          <w:iCs/>
          <w:sz w:val="20"/>
          <w:szCs w:val="20"/>
          <w:vertAlign w:val="baseline"/>
        </w:rPr>
        <w:t xml:space="preserve">5 </w:t>
      </w: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/2021</w:t>
      </w:r>
    </w:p>
    <w:p w:rsidR="007A5D91" w:rsidRPr="00C66973" w:rsidRDefault="007A5D91" w:rsidP="007A5D91">
      <w:pPr>
        <w:pStyle w:val="Tekstpodstawowy"/>
        <w:ind w:left="4344" w:firstLine="618"/>
        <w:rPr>
          <w:rFonts w:ascii="Arial" w:hAnsi="Arial" w:cs="Arial"/>
          <w:bCs/>
          <w:iCs/>
          <w:sz w:val="20"/>
          <w:szCs w:val="20"/>
          <w:vertAlign w:val="baseline"/>
        </w:rPr>
      </w:pPr>
      <w:r w:rsidRPr="00C66973">
        <w:rPr>
          <w:rFonts w:ascii="Arial" w:hAnsi="Arial" w:cs="Arial"/>
          <w:bCs/>
          <w:iCs/>
          <w:sz w:val="20"/>
          <w:szCs w:val="20"/>
          <w:vertAlign w:val="baseline"/>
        </w:rPr>
        <w:t>Rady Nadzorczej OK. Banku Spółdzielczego</w:t>
      </w:r>
    </w:p>
    <w:p w:rsidR="007A5D91" w:rsidRPr="00C66973" w:rsidRDefault="007A5D91" w:rsidP="007A5D91">
      <w:pPr>
        <w:pStyle w:val="Tekstpodstawowy"/>
        <w:ind w:left="4344" w:firstLine="618"/>
        <w:rPr>
          <w:rFonts w:ascii="Arial" w:hAnsi="Arial" w:cs="Arial"/>
          <w:bCs/>
          <w:iCs/>
          <w:sz w:val="20"/>
          <w:szCs w:val="20"/>
          <w:vertAlign w:val="baseline"/>
        </w:rPr>
      </w:pPr>
      <w:r w:rsidRPr="00C66973">
        <w:rPr>
          <w:rFonts w:ascii="Arial" w:hAnsi="Arial" w:cs="Arial"/>
          <w:sz w:val="20"/>
          <w:szCs w:val="20"/>
          <w:vertAlign w:val="baseline"/>
        </w:rPr>
        <w:t xml:space="preserve">z dnia  </w:t>
      </w:r>
      <w:r w:rsidR="00372238">
        <w:rPr>
          <w:rFonts w:ascii="Arial" w:hAnsi="Arial" w:cs="Arial"/>
          <w:sz w:val="20"/>
          <w:szCs w:val="20"/>
          <w:vertAlign w:val="baseline"/>
        </w:rPr>
        <w:t>24.06.2021</w:t>
      </w:r>
      <w:r w:rsidRPr="00C66973">
        <w:rPr>
          <w:rFonts w:ascii="Arial" w:hAnsi="Arial" w:cs="Arial"/>
          <w:sz w:val="20"/>
          <w:szCs w:val="20"/>
          <w:vertAlign w:val="baseline"/>
        </w:rPr>
        <w:t>r.</w:t>
      </w:r>
    </w:p>
    <w:p w:rsidR="00231C52" w:rsidRPr="00C66973" w:rsidRDefault="00231C52">
      <w:pPr>
        <w:rPr>
          <w:rFonts w:cstheme="minorHAnsi"/>
          <w:sz w:val="20"/>
          <w:szCs w:val="20"/>
        </w:rPr>
      </w:pPr>
    </w:p>
    <w:p w:rsidR="00231C52" w:rsidRDefault="00231C52">
      <w:pPr>
        <w:rPr>
          <w:rFonts w:cstheme="minorHAnsi"/>
        </w:rPr>
      </w:pPr>
    </w:p>
    <w:p w:rsidR="00231C52" w:rsidRDefault="00231C52">
      <w:pPr>
        <w:rPr>
          <w:rFonts w:cstheme="minorHAnsi"/>
        </w:rPr>
      </w:pPr>
    </w:p>
    <w:p w:rsidR="00231C52" w:rsidRDefault="00231C52">
      <w:pPr>
        <w:rPr>
          <w:rFonts w:cstheme="minorHAnsi"/>
        </w:rPr>
      </w:pPr>
    </w:p>
    <w:p w:rsidR="007A5D91" w:rsidRDefault="007A5D91">
      <w:pPr>
        <w:jc w:val="center"/>
        <w:rPr>
          <w:rFonts w:ascii="Arial" w:hAnsi="Arial" w:cs="Arial"/>
        </w:rPr>
      </w:pPr>
    </w:p>
    <w:p w:rsidR="007A5D91" w:rsidRDefault="007A5D91">
      <w:pPr>
        <w:jc w:val="center"/>
        <w:rPr>
          <w:rFonts w:ascii="Arial" w:hAnsi="Arial" w:cs="Arial"/>
        </w:rPr>
      </w:pPr>
    </w:p>
    <w:p w:rsidR="007A5D91" w:rsidRDefault="007A5D91">
      <w:pPr>
        <w:jc w:val="center"/>
        <w:rPr>
          <w:rFonts w:ascii="Arial" w:hAnsi="Arial" w:cs="Arial"/>
        </w:rPr>
      </w:pPr>
    </w:p>
    <w:p w:rsidR="007A5D91" w:rsidRDefault="007A5D91" w:rsidP="00C66973">
      <w:pPr>
        <w:jc w:val="center"/>
        <w:rPr>
          <w:rFonts w:ascii="Arial" w:hAnsi="Arial" w:cs="Arial"/>
        </w:rPr>
      </w:pPr>
    </w:p>
    <w:p w:rsidR="00231C52" w:rsidRPr="007A5D91" w:rsidRDefault="00FF1069" w:rsidP="00C669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5D91">
        <w:rPr>
          <w:rFonts w:ascii="Arial" w:hAnsi="Arial" w:cs="Arial"/>
          <w:b/>
          <w:bCs/>
          <w:sz w:val="24"/>
          <w:szCs w:val="24"/>
        </w:rPr>
        <w:t>Polityka informacyjna</w:t>
      </w:r>
    </w:p>
    <w:p w:rsidR="00231C52" w:rsidRPr="007A5D91" w:rsidRDefault="001B3EFF" w:rsidP="00C669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5D91">
        <w:rPr>
          <w:rFonts w:ascii="Arial" w:hAnsi="Arial" w:cs="Arial"/>
          <w:b/>
          <w:bCs/>
          <w:sz w:val="24"/>
          <w:szCs w:val="24"/>
        </w:rPr>
        <w:t xml:space="preserve">Orzesko-Knurowskiego </w:t>
      </w:r>
      <w:r w:rsidR="00FF1069" w:rsidRPr="007A5D91">
        <w:rPr>
          <w:rFonts w:ascii="Arial" w:hAnsi="Arial" w:cs="Arial"/>
          <w:b/>
          <w:bCs/>
          <w:sz w:val="24"/>
          <w:szCs w:val="24"/>
        </w:rPr>
        <w:t>Banku Spółdzielczego</w:t>
      </w:r>
    </w:p>
    <w:p w:rsidR="00231C52" w:rsidRPr="007A5D91" w:rsidRDefault="001B3EFF" w:rsidP="00C669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5D91">
        <w:rPr>
          <w:rFonts w:ascii="Arial" w:hAnsi="Arial" w:cs="Arial"/>
          <w:b/>
          <w:bCs/>
          <w:sz w:val="24"/>
          <w:szCs w:val="24"/>
        </w:rPr>
        <w:t xml:space="preserve">z siedzibą </w:t>
      </w:r>
      <w:r w:rsidR="00FF1069" w:rsidRPr="007A5D91">
        <w:rPr>
          <w:rFonts w:ascii="Arial" w:hAnsi="Arial" w:cs="Arial"/>
          <w:b/>
          <w:bCs/>
          <w:sz w:val="24"/>
          <w:szCs w:val="24"/>
        </w:rPr>
        <w:t xml:space="preserve">w </w:t>
      </w:r>
      <w:r w:rsidRPr="007A5D91">
        <w:rPr>
          <w:rFonts w:ascii="Arial" w:hAnsi="Arial" w:cs="Arial"/>
          <w:b/>
          <w:bCs/>
          <w:sz w:val="24"/>
          <w:szCs w:val="24"/>
        </w:rPr>
        <w:t>Knurowie</w:t>
      </w:r>
    </w:p>
    <w:p w:rsidR="004530ED" w:rsidRDefault="004530ED" w:rsidP="00C66973">
      <w:pPr>
        <w:spacing w:after="120"/>
        <w:jc w:val="center"/>
        <w:rPr>
          <w:b/>
        </w:rPr>
      </w:pPr>
      <w:r>
        <w:rPr>
          <w:b/>
        </w:rPr>
        <w:t xml:space="preserve">dotycząca ryzyka, adekwatności kapitałowej, polityki w zakresie wynagrodzeń i innych informacji ujawnianych zgodnie z Rozporządzeniem Parlamentu i Rady nr </w:t>
      </w:r>
      <w:r w:rsidR="0028106B">
        <w:rPr>
          <w:b/>
        </w:rPr>
        <w:t>2019/876 z dnia 20 maja 2019</w:t>
      </w:r>
      <w:r>
        <w:rPr>
          <w:b/>
        </w:rPr>
        <w:t xml:space="preserve"> r.,  informacji podlegających ogłaszaniu zgodnie z Rekomendacją M i P oraz Wytycznymi dotyczącymi ujawnienia w zakresie ekspozycji nieobsługiwanych i restrukturyzowanych ( EBA/GL/2018/10).</w:t>
      </w:r>
    </w:p>
    <w:p w:rsidR="00231C52" w:rsidRPr="001B3EFF" w:rsidRDefault="00231C52" w:rsidP="00C66973">
      <w:pPr>
        <w:jc w:val="center"/>
        <w:rPr>
          <w:rFonts w:ascii="Arial" w:hAnsi="Arial" w:cs="Arial"/>
        </w:rPr>
      </w:pPr>
    </w:p>
    <w:p w:rsidR="00231C52" w:rsidRPr="001B3EFF" w:rsidRDefault="00231C52">
      <w:pPr>
        <w:rPr>
          <w:rFonts w:ascii="Arial" w:hAnsi="Arial" w:cs="Arial"/>
        </w:rPr>
      </w:pPr>
    </w:p>
    <w:p w:rsidR="00231C52" w:rsidRPr="001B3EFF" w:rsidRDefault="00231C52">
      <w:pPr>
        <w:rPr>
          <w:rFonts w:ascii="Arial" w:hAnsi="Arial" w:cs="Arial"/>
        </w:rPr>
      </w:pPr>
    </w:p>
    <w:p w:rsidR="00231C52" w:rsidRPr="001B3EFF" w:rsidRDefault="00231C52">
      <w:pPr>
        <w:rPr>
          <w:rFonts w:ascii="Arial" w:hAnsi="Arial" w:cs="Arial"/>
        </w:rPr>
      </w:pPr>
    </w:p>
    <w:p w:rsidR="00231C52" w:rsidRPr="001B3EFF" w:rsidRDefault="00231C52">
      <w:pPr>
        <w:rPr>
          <w:rFonts w:ascii="Arial" w:hAnsi="Arial" w:cs="Arial"/>
        </w:rPr>
      </w:pPr>
    </w:p>
    <w:p w:rsidR="00231C52" w:rsidRPr="001B3EFF" w:rsidRDefault="00231C52">
      <w:pPr>
        <w:rPr>
          <w:rFonts w:ascii="Arial" w:hAnsi="Arial" w:cs="Arial"/>
        </w:rPr>
      </w:pPr>
    </w:p>
    <w:p w:rsidR="00231C52" w:rsidRPr="001B3EFF" w:rsidRDefault="00321839">
      <w:pPr>
        <w:jc w:val="center"/>
        <w:rPr>
          <w:rFonts w:ascii="Arial" w:hAnsi="Arial" w:cs="Arial"/>
        </w:rPr>
        <w:sectPr w:rsidR="00231C52" w:rsidRPr="001B3EFF">
          <w:pgSz w:w="11906" w:h="16838"/>
          <w:pgMar w:top="1417" w:right="1417" w:bottom="1417" w:left="1417" w:header="0" w:footer="0" w:gutter="0"/>
          <w:pgNumType w:start="0"/>
          <w:cols w:space="708"/>
          <w:formProt w:val="0"/>
          <w:docGrid w:linePitch="360" w:charSpace="4096"/>
        </w:sectPr>
      </w:pPr>
      <w:r>
        <w:rPr>
          <w:rFonts w:ascii="Arial" w:hAnsi="Arial" w:cs="Arial"/>
        </w:rPr>
        <w:t>Knurów,   2021</w:t>
      </w:r>
    </w:p>
    <w:p w:rsidR="00231C52" w:rsidRPr="003465E4" w:rsidRDefault="00FF1069">
      <w:pPr>
        <w:rPr>
          <w:rFonts w:ascii="Arial" w:hAnsi="Arial" w:cs="Arial"/>
        </w:rPr>
      </w:pPr>
      <w:r w:rsidRPr="003465E4">
        <w:rPr>
          <w:rFonts w:ascii="Arial" w:hAnsi="Arial" w:cs="Arial"/>
          <w:b/>
        </w:rPr>
        <w:lastRenderedPageBreak/>
        <w:t>Spis treści</w:t>
      </w:r>
    </w:p>
    <w:sdt>
      <w:sdtPr>
        <w:rPr>
          <w:rFonts w:ascii="Arial" w:hAnsi="Arial" w:cs="Arial"/>
        </w:rPr>
        <w:id w:val="1270356937"/>
        <w:docPartObj>
          <w:docPartGallery w:val="Table of Contents"/>
          <w:docPartUnique/>
        </w:docPartObj>
      </w:sdtPr>
      <w:sdtEndPr/>
      <w:sdtContent>
        <w:p w:rsidR="003465E4" w:rsidRPr="003465E4" w:rsidRDefault="00FF106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r w:rsidRPr="003465E4">
            <w:fldChar w:fldCharType="begin"/>
          </w:r>
          <w:r w:rsidRPr="003465E4">
            <w:rPr>
              <w:rStyle w:val="czeindeksu"/>
              <w:rFonts w:ascii="Arial" w:hAnsi="Arial" w:cs="Arial"/>
              <w:webHidden/>
            </w:rPr>
            <w:instrText>TOC \z \o "1-3" \u \h</w:instrText>
          </w:r>
          <w:r w:rsidRPr="003465E4">
            <w:rPr>
              <w:rStyle w:val="czeindeksu"/>
              <w:rFonts w:ascii="Arial" w:hAnsi="Arial" w:cs="Arial"/>
            </w:rPr>
            <w:fldChar w:fldCharType="separate"/>
          </w:r>
          <w:hyperlink w:anchor="_Toc74135343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I. Postanowienia ogólne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_Toc74135343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2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3465E4" w:rsidRPr="003465E4" w:rsidRDefault="00E8131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hyperlink w:anchor="_Toc74135344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II. Informacje podlegające ogłaszaniu lub udostępnianiu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_Toc74135344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3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3465E4" w:rsidRPr="003465E4" w:rsidRDefault="00E8131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hyperlink w:anchor="_Toc74135345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III. Częstotliwość, formy i miejsce ogłaszania informacji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_Toc74135345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6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3465E4" w:rsidRPr="003465E4" w:rsidRDefault="00E8131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hyperlink w:anchor="_Toc74135346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IV. Formy i miejsce ogłaszania informacji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_Toc74135346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6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3465E4" w:rsidRPr="003465E4" w:rsidRDefault="00E8131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hyperlink w:anchor="_Toc74135347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V. Zasady zatwierdzania i weryfikacji ogłaszanych informacji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_Toc74135347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6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3465E4" w:rsidRPr="003465E4" w:rsidRDefault="00E8131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hyperlink w:anchor="_Toc74135348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VI. Zasady weryfikacji Polityki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_Toc74135348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7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3465E4" w:rsidRPr="003465E4" w:rsidRDefault="00E81319">
          <w:pPr>
            <w:pStyle w:val="Spistreci1"/>
            <w:tabs>
              <w:tab w:val="right" w:leader="dot" w:pos="8915"/>
            </w:tabs>
            <w:rPr>
              <w:rFonts w:eastAsiaTheme="minorEastAsia"/>
              <w:noProof/>
              <w:lang w:eastAsia="pl-PL"/>
            </w:rPr>
          </w:pPr>
          <w:hyperlink w:anchor="_Toc74135349" w:history="1">
            <w:r w:rsidR="003465E4" w:rsidRPr="003465E4">
              <w:rPr>
                <w:rStyle w:val="Hipercze"/>
                <w:rFonts w:ascii="Arial" w:hAnsi="Arial" w:cs="Arial"/>
                <w:noProof/>
              </w:rPr>
              <w:t>VII. Przepisy końcowe i przejściowe</w:t>
            </w:r>
            <w:r w:rsidR="003465E4" w:rsidRPr="003465E4">
              <w:rPr>
                <w:noProof/>
                <w:webHidden/>
              </w:rPr>
              <w:tab/>
            </w:r>
            <w:r w:rsidR="003465E4" w:rsidRPr="003465E4">
              <w:rPr>
                <w:noProof/>
                <w:webHidden/>
              </w:rPr>
              <w:fldChar w:fldCharType="begin"/>
            </w:r>
            <w:r w:rsidR="003465E4" w:rsidRPr="003465E4">
              <w:rPr>
                <w:noProof/>
                <w:webHidden/>
              </w:rPr>
              <w:instrText xml:space="preserve"> PAGEREF _Toc74135349 \h </w:instrText>
            </w:r>
            <w:r w:rsidR="003465E4" w:rsidRPr="003465E4">
              <w:rPr>
                <w:noProof/>
                <w:webHidden/>
              </w:rPr>
            </w:r>
            <w:r w:rsidR="003465E4" w:rsidRPr="003465E4">
              <w:rPr>
                <w:noProof/>
                <w:webHidden/>
              </w:rPr>
              <w:fldChar w:fldCharType="separate"/>
            </w:r>
            <w:r w:rsidR="003465E4" w:rsidRPr="003465E4">
              <w:rPr>
                <w:noProof/>
                <w:webHidden/>
              </w:rPr>
              <w:t>7</w:t>
            </w:r>
            <w:r w:rsidR="003465E4" w:rsidRPr="003465E4">
              <w:rPr>
                <w:noProof/>
                <w:webHidden/>
              </w:rPr>
              <w:fldChar w:fldCharType="end"/>
            </w:r>
          </w:hyperlink>
        </w:p>
        <w:p w:rsidR="00231C52" w:rsidRPr="001B3EFF" w:rsidRDefault="00FF1069">
          <w:pPr>
            <w:pStyle w:val="Spistreci1"/>
            <w:tabs>
              <w:tab w:val="right" w:leader="dot" w:pos="9062"/>
            </w:tabs>
            <w:rPr>
              <w:rFonts w:ascii="Arial" w:hAnsi="Arial" w:cs="Arial"/>
            </w:rPr>
          </w:pPr>
          <w:r w:rsidRPr="003465E4">
            <w:rPr>
              <w:rStyle w:val="czeindeksu"/>
              <w:rFonts w:ascii="Arial" w:hAnsi="Arial" w:cs="Arial"/>
            </w:rPr>
            <w:fldChar w:fldCharType="end"/>
          </w:r>
        </w:p>
      </w:sdtContent>
    </w:sdt>
    <w:p w:rsidR="00231C52" w:rsidRPr="001B3EFF" w:rsidRDefault="00FF1069">
      <w:pPr>
        <w:rPr>
          <w:rFonts w:ascii="Arial" w:hAnsi="Arial" w:cs="Arial"/>
          <w:b/>
        </w:rPr>
      </w:pPr>
      <w:r w:rsidRPr="001B3EFF">
        <w:rPr>
          <w:rFonts w:ascii="Arial" w:hAnsi="Arial" w:cs="Arial"/>
        </w:rPr>
        <w:br w:type="page"/>
      </w:r>
    </w:p>
    <w:p w:rsidR="00231C52" w:rsidRPr="001B3EFF" w:rsidRDefault="00FF1069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Toc74135343"/>
      <w:r w:rsidRPr="001B3EFF">
        <w:rPr>
          <w:rFonts w:ascii="Arial" w:hAnsi="Arial" w:cs="Arial"/>
          <w:color w:val="auto"/>
          <w:sz w:val="22"/>
          <w:szCs w:val="22"/>
        </w:rPr>
        <w:t>I. Postanowienia ogólne</w:t>
      </w:r>
      <w:bookmarkEnd w:id="0"/>
    </w:p>
    <w:p w:rsidR="00231C52" w:rsidRPr="001B3EFF" w:rsidRDefault="00231C52" w:rsidP="00C93840">
      <w:pPr>
        <w:spacing w:after="0" w:line="240" w:lineRule="auto"/>
        <w:rPr>
          <w:rFonts w:ascii="Arial" w:hAnsi="Arial" w:cs="Arial"/>
        </w:rPr>
      </w:pPr>
    </w:p>
    <w:p w:rsidR="00231C52" w:rsidRPr="001B3EFF" w:rsidRDefault="00FF1069" w:rsidP="00C93840">
      <w:pPr>
        <w:spacing w:after="0" w:line="240" w:lineRule="auto"/>
        <w:jc w:val="center"/>
        <w:rPr>
          <w:rFonts w:ascii="Arial" w:hAnsi="Arial" w:cs="Arial"/>
        </w:rPr>
      </w:pPr>
      <w:r w:rsidRPr="001B3EFF">
        <w:rPr>
          <w:rFonts w:ascii="Arial" w:hAnsi="Arial" w:cs="Arial"/>
        </w:rPr>
        <w:t>§ 1</w:t>
      </w:r>
    </w:p>
    <w:p w:rsidR="00231C52" w:rsidRPr="001B3EFF" w:rsidRDefault="00FF1069" w:rsidP="00C93840">
      <w:pPr>
        <w:pStyle w:val="Akapitzlist"/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Bank prowadzi przejrzystą politykę informacyjną, uwzględniającą potrzeby informacyjne członków Banku oraz klientów.</w:t>
      </w:r>
    </w:p>
    <w:p w:rsidR="00231C52" w:rsidRPr="001B3EFF" w:rsidRDefault="00FF1069" w:rsidP="00C93840">
      <w:pPr>
        <w:pStyle w:val="Akapitzlist"/>
        <w:numPr>
          <w:ilvl w:val="0"/>
          <w:numId w:val="10"/>
        </w:numPr>
        <w:spacing w:after="0" w:line="240" w:lineRule="auto"/>
        <w:ind w:hanging="357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Niniejsza „Polityka informacyjna </w:t>
      </w:r>
      <w:r w:rsidR="00C66973">
        <w:rPr>
          <w:rFonts w:ascii="Arial" w:hAnsi="Arial" w:cs="Arial"/>
        </w:rPr>
        <w:t>Orzesko-Knurowskiego  Banku Spółdzielczego z siedzibą w Knurowie</w:t>
      </w:r>
      <w:r w:rsidRPr="001B3EFF">
        <w:rPr>
          <w:rFonts w:ascii="Arial" w:hAnsi="Arial" w:cs="Arial"/>
        </w:rPr>
        <w:t>” nazywana dalej „Polityką” określa:</w:t>
      </w:r>
    </w:p>
    <w:p w:rsidR="00231C52" w:rsidRPr="001B3EFF" w:rsidRDefault="00FF1069" w:rsidP="00C93840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</w:rPr>
      </w:pPr>
      <w:r w:rsidRPr="001B3EFF">
        <w:rPr>
          <w:rFonts w:ascii="Arial" w:hAnsi="Arial" w:cs="Arial"/>
        </w:rPr>
        <w:t>zakres ogłaszanych zgodnie z wymogami prawa informacji,</w:t>
      </w:r>
    </w:p>
    <w:p w:rsidR="00231C52" w:rsidRPr="001B3EFF" w:rsidRDefault="00FF1069" w:rsidP="00C93840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</w:rPr>
      </w:pPr>
      <w:r w:rsidRPr="001B3EFF">
        <w:rPr>
          <w:rFonts w:ascii="Arial" w:hAnsi="Arial" w:cs="Arial"/>
        </w:rPr>
        <w:t>określenie częstotliwości dokonywania ogłaszania informacji,</w:t>
      </w:r>
    </w:p>
    <w:p w:rsidR="00231C52" w:rsidRPr="001B3EFF" w:rsidRDefault="00FF1069" w:rsidP="00C93840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</w:rPr>
      </w:pPr>
      <w:r w:rsidRPr="001B3EFF">
        <w:rPr>
          <w:rFonts w:ascii="Arial" w:hAnsi="Arial" w:cs="Arial"/>
        </w:rPr>
        <w:t>formy i miejsca ogłaszania informacji,</w:t>
      </w:r>
    </w:p>
    <w:p w:rsidR="00231C52" w:rsidRPr="001B3EFF" w:rsidRDefault="00FF1069" w:rsidP="00C93840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</w:rPr>
      </w:pPr>
      <w:r w:rsidRPr="001B3EFF">
        <w:rPr>
          <w:rFonts w:ascii="Arial" w:hAnsi="Arial" w:cs="Arial"/>
        </w:rPr>
        <w:t>sposób zapewniania klientom i członkom Banku właściwego dostępu do informacji,</w:t>
      </w:r>
    </w:p>
    <w:p w:rsidR="00231C52" w:rsidRPr="001B3EFF" w:rsidRDefault="00FF1069" w:rsidP="00C93840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="Arial" w:hAnsi="Arial" w:cs="Arial"/>
        </w:rPr>
      </w:pPr>
      <w:r w:rsidRPr="001B3EFF">
        <w:rPr>
          <w:rFonts w:ascii="Arial" w:hAnsi="Arial" w:cs="Arial"/>
        </w:rPr>
        <w:t>zasad zatwierdzania i weryfikowania informacji podlegających zgodnie z Polityką ogłaszaniu.</w:t>
      </w:r>
    </w:p>
    <w:p w:rsidR="00C93840" w:rsidRDefault="00C93840" w:rsidP="00C93840">
      <w:pPr>
        <w:spacing w:after="0" w:line="240" w:lineRule="auto"/>
        <w:jc w:val="center"/>
        <w:rPr>
          <w:rFonts w:ascii="Arial" w:hAnsi="Arial" w:cs="Arial"/>
        </w:rPr>
      </w:pPr>
    </w:p>
    <w:p w:rsidR="00231C52" w:rsidRPr="001B3EFF" w:rsidRDefault="00FF1069" w:rsidP="00C93840">
      <w:pPr>
        <w:spacing w:after="0" w:line="240" w:lineRule="auto"/>
        <w:jc w:val="center"/>
        <w:rPr>
          <w:rFonts w:ascii="Arial" w:hAnsi="Arial" w:cs="Arial"/>
        </w:rPr>
      </w:pPr>
      <w:r w:rsidRPr="001B3EFF">
        <w:rPr>
          <w:rFonts w:ascii="Arial" w:hAnsi="Arial" w:cs="Arial"/>
        </w:rPr>
        <w:t>§ 2</w:t>
      </w:r>
    </w:p>
    <w:p w:rsidR="00231C52" w:rsidRPr="001B3EFF" w:rsidRDefault="00FF1069" w:rsidP="00C93840">
      <w:pPr>
        <w:spacing w:after="0" w:line="240" w:lineRule="auto"/>
        <w:contextualSpacing/>
        <w:rPr>
          <w:rFonts w:ascii="Arial" w:hAnsi="Arial" w:cs="Arial"/>
        </w:rPr>
      </w:pPr>
      <w:r w:rsidRPr="001B3EFF">
        <w:rPr>
          <w:rFonts w:ascii="Arial" w:hAnsi="Arial" w:cs="Arial"/>
        </w:rPr>
        <w:t>Niniejsza Polityka stanowi regulację Banku przyjętą w celu:</w:t>
      </w:r>
    </w:p>
    <w:p w:rsidR="00217410" w:rsidRPr="00217410" w:rsidRDefault="00FF1069" w:rsidP="00C93840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217410">
        <w:rPr>
          <w:rFonts w:ascii="Arial" w:hAnsi="Arial" w:cs="Arial"/>
        </w:rPr>
        <w:t>spełnienia wymogów dotyczących obowiązku przyjęcia „formalnej polityki” przyjętej w celu ujawniania informacji zgodnie z art. 432 ust. 3  Rozporządzenia Parlamentu Europejskiego  i Rady (UE) nr 575/2013 z dnia 26 czerwca 2013 r.</w:t>
      </w:r>
      <w:r w:rsidR="00217410" w:rsidRPr="00217410">
        <w:rPr>
          <w:rFonts w:ascii="Arial" w:hAnsi="Arial" w:cs="Arial"/>
        </w:rPr>
        <w:t xml:space="preserve"> z </w:t>
      </w:r>
      <w:proofErr w:type="spellStart"/>
      <w:r w:rsidR="00217410" w:rsidRPr="00217410">
        <w:rPr>
          <w:rFonts w:ascii="Arial" w:hAnsi="Arial" w:cs="Arial"/>
        </w:rPr>
        <w:t>poź</w:t>
      </w:r>
      <w:proofErr w:type="spellEnd"/>
      <w:r w:rsidR="00217410" w:rsidRPr="00217410">
        <w:rPr>
          <w:rFonts w:ascii="Arial" w:hAnsi="Arial" w:cs="Arial"/>
        </w:rPr>
        <w:t>. zmianami</w:t>
      </w:r>
      <w:r w:rsidRPr="00217410">
        <w:rPr>
          <w:rFonts w:ascii="Arial" w:hAnsi="Arial" w:cs="Arial"/>
        </w:rPr>
        <w:t xml:space="preserve"> w sprawie wymogów ostrożnościowych dla instytucji  kredytowych i firm inwestycy</w:t>
      </w:r>
      <w:r w:rsidRPr="00217410">
        <w:rPr>
          <w:rFonts w:ascii="Arial" w:hAnsi="Arial" w:cs="Arial"/>
        </w:rPr>
        <w:t>j</w:t>
      </w:r>
      <w:r w:rsidRPr="00217410">
        <w:rPr>
          <w:rFonts w:ascii="Arial" w:hAnsi="Arial" w:cs="Arial"/>
        </w:rPr>
        <w:t>nych (...) ze zmianami, zwanego dalej „Rozporządzeniem”;</w:t>
      </w:r>
      <w:r w:rsidR="00217410" w:rsidRPr="00217410">
        <w:rPr>
          <w:rFonts w:ascii="Arial" w:hAnsi="Arial" w:cs="Arial"/>
        </w:rPr>
        <w:t xml:space="preserve"> Rozporządzenia Parl</w:t>
      </w:r>
      <w:r w:rsidR="00217410" w:rsidRPr="00217410">
        <w:rPr>
          <w:rFonts w:ascii="Arial" w:hAnsi="Arial" w:cs="Arial"/>
        </w:rPr>
        <w:t>a</w:t>
      </w:r>
      <w:r w:rsidR="00217410" w:rsidRPr="00217410">
        <w:rPr>
          <w:rFonts w:ascii="Arial" w:hAnsi="Arial" w:cs="Arial"/>
        </w:rPr>
        <w:t>mentu Europejskiego i rady 2019/876 z 20.05.2019 zmieniające rozporządzenie 575/2013;</w:t>
      </w:r>
      <w:bookmarkStart w:id="1" w:name="_Hlk73970816"/>
      <w:r w:rsidR="00217410" w:rsidRPr="00217410">
        <w:t xml:space="preserve"> </w:t>
      </w:r>
      <w:r w:rsidR="00217410" w:rsidRPr="00217410">
        <w:rPr>
          <w:rFonts w:ascii="Arial" w:hAnsi="Arial" w:cs="Arial"/>
        </w:rPr>
        <w:t>Rozporządzenie wykonawcze Komisji 2021/637   dnia 15.03.2021r ust</w:t>
      </w:r>
      <w:r w:rsidR="00217410" w:rsidRPr="00217410">
        <w:rPr>
          <w:rFonts w:ascii="Arial" w:hAnsi="Arial" w:cs="Arial"/>
        </w:rPr>
        <w:t>a</w:t>
      </w:r>
      <w:r w:rsidR="00217410" w:rsidRPr="00217410">
        <w:rPr>
          <w:rFonts w:ascii="Arial" w:hAnsi="Arial" w:cs="Arial"/>
        </w:rPr>
        <w:t>wiające wykonawcze standardy techniczne w odniesieniu do publicznego ujawni</w:t>
      </w:r>
      <w:r w:rsidR="00217410" w:rsidRPr="00217410">
        <w:rPr>
          <w:rFonts w:ascii="Arial" w:hAnsi="Arial" w:cs="Arial"/>
        </w:rPr>
        <w:t>e</w:t>
      </w:r>
      <w:r w:rsidR="00217410" w:rsidRPr="00217410">
        <w:rPr>
          <w:rFonts w:ascii="Arial" w:hAnsi="Arial" w:cs="Arial"/>
        </w:rPr>
        <w:t xml:space="preserve">nia (….);  </w:t>
      </w:r>
    </w:p>
    <w:bookmarkEnd w:id="1"/>
    <w:p w:rsidR="00231C52" w:rsidRPr="001B3EFF" w:rsidRDefault="00FF1069" w:rsidP="00C938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spełnienia wymogów art. 111, oraz 111a Ustawy Prawo bankowe;</w:t>
      </w:r>
    </w:p>
    <w:p w:rsidR="00231C52" w:rsidRPr="001B3EFF" w:rsidRDefault="00FF1069" w:rsidP="00C938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spełniania wymogów Rekomendacji Komisji Nadzoru Finansowego, w tym Rekomendacji M, P, H,</w:t>
      </w:r>
      <w:r w:rsidRPr="001B3EFF">
        <w:rPr>
          <w:rFonts w:ascii="Arial" w:hAnsi="Arial" w:cs="Arial"/>
          <w:i/>
        </w:rPr>
        <w:t xml:space="preserve"> </w:t>
      </w:r>
      <w:r w:rsidRPr="001B3EFF">
        <w:rPr>
          <w:rFonts w:ascii="Arial" w:hAnsi="Arial" w:cs="Arial"/>
        </w:rPr>
        <w:t xml:space="preserve"> Komisji Nadzoru Finansowego;</w:t>
      </w:r>
    </w:p>
    <w:p w:rsidR="00231C52" w:rsidRDefault="00FF1069" w:rsidP="00C9384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spełnienia wymogów § 31 Zasad Ładu Korporacyjnego dla instytucji nadzorowanych wydanych uchwałą nr 218/2014 Komisji Nadzoru Finansowego (Dz. Urz. KNF z 2014 roku poz. 17)</w:t>
      </w:r>
      <w:r w:rsidR="00C93840">
        <w:rPr>
          <w:rFonts w:ascii="Arial" w:hAnsi="Arial" w:cs="Arial"/>
        </w:rPr>
        <w:t>.</w:t>
      </w:r>
    </w:p>
    <w:p w:rsidR="00C93840" w:rsidRPr="001B3EFF" w:rsidRDefault="00C93840" w:rsidP="00C9384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31C52" w:rsidRPr="001B3EFF" w:rsidRDefault="00FF1069" w:rsidP="00C93840">
      <w:pPr>
        <w:spacing w:after="0" w:line="240" w:lineRule="auto"/>
        <w:jc w:val="center"/>
        <w:rPr>
          <w:rFonts w:ascii="Arial" w:hAnsi="Arial" w:cs="Arial"/>
        </w:rPr>
      </w:pPr>
      <w:r w:rsidRPr="001B3EFF">
        <w:rPr>
          <w:rFonts w:ascii="Arial" w:hAnsi="Arial" w:cs="Arial"/>
        </w:rPr>
        <w:t>§ 3</w:t>
      </w:r>
    </w:p>
    <w:p w:rsidR="00231C52" w:rsidRPr="001B3EFF" w:rsidRDefault="00FF1069" w:rsidP="00C93840">
      <w:pPr>
        <w:spacing w:after="0" w:line="240" w:lineRule="auto"/>
        <w:contextualSpacing/>
        <w:rPr>
          <w:rFonts w:ascii="Arial" w:hAnsi="Arial" w:cs="Arial"/>
        </w:rPr>
      </w:pPr>
      <w:r w:rsidRPr="001B3EFF">
        <w:rPr>
          <w:rFonts w:ascii="Arial" w:hAnsi="Arial" w:cs="Arial"/>
        </w:rPr>
        <w:t>Podstawą do opracowania Polityki są przepisy prawa oraz regulacje nadzorcze:</w:t>
      </w:r>
    </w:p>
    <w:p w:rsidR="00231C52" w:rsidRPr="001B3EFF" w:rsidRDefault="00FF1069" w:rsidP="00C938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Ustawa Prawo bankowe, </w:t>
      </w:r>
    </w:p>
    <w:p w:rsidR="00231C52" w:rsidRPr="001B3EFF" w:rsidRDefault="00FF1069" w:rsidP="00C938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Rozporządzenie Parlamentu Europejskiego i Rady (UE) nr 575/2013, zmienione przez Rozporządzenie Parlamentu Europejskiego i Rady (UE) 2019/876 z dnia 20 maja 2019 r.</w:t>
      </w:r>
    </w:p>
    <w:p w:rsidR="00BC47C7" w:rsidRPr="001B3EFF" w:rsidRDefault="00BC47C7" w:rsidP="00C938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Rozporządzenie wykonawcze Komisji (UE) nr 2021/637 z dnia 15 marca 2021</w:t>
      </w:r>
    </w:p>
    <w:p w:rsidR="00231C52" w:rsidRPr="001B3EFF" w:rsidRDefault="00FF1069" w:rsidP="00C938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rekomendacje nadzorcze wydane przez Komisję Nadzoru Finansowego </w:t>
      </w:r>
    </w:p>
    <w:p w:rsidR="00231C52" w:rsidRPr="001B3EFF" w:rsidRDefault="00FF1069" w:rsidP="00C93840">
      <w:pPr>
        <w:pStyle w:val="Teksttreci20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Rekomendacja P KNF,</w:t>
      </w:r>
    </w:p>
    <w:p w:rsidR="00231C52" w:rsidRPr="001B3EFF" w:rsidRDefault="00FF1069" w:rsidP="00C93840">
      <w:pPr>
        <w:pStyle w:val="Teksttreci20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Rekomendacja M KNF,</w:t>
      </w:r>
    </w:p>
    <w:p w:rsidR="00231C52" w:rsidRPr="001B3EFF" w:rsidRDefault="00FF1069" w:rsidP="00C93840">
      <w:pPr>
        <w:pStyle w:val="Teksttreci20"/>
        <w:numPr>
          <w:ilvl w:val="0"/>
          <w:numId w:val="24"/>
        </w:numPr>
        <w:shd w:val="clear" w:color="auto" w:fill="auto"/>
        <w:spacing w:before="0" w:line="240" w:lineRule="auto"/>
        <w:contextualSpacing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Rekomendacja H KNF,</w:t>
      </w:r>
    </w:p>
    <w:p w:rsidR="00231C52" w:rsidRPr="001B3EFF" w:rsidRDefault="00FF1069" w:rsidP="00C938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Wytyczne Europejskiego Urzędu Nadzoru Bankowego (EUNB) dotyczących dokonywania ujawnień informacji, w tym:</w:t>
      </w:r>
    </w:p>
    <w:p w:rsidR="00231C52" w:rsidRPr="001B3EFF" w:rsidRDefault="00FF1069" w:rsidP="00C9384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1B3EFF">
        <w:rPr>
          <w:rFonts w:ascii="Arial" w:hAnsi="Arial" w:cs="Arial"/>
        </w:rPr>
        <w:t>Wytyczne EBA/GL/2014/14 - w sprawie istotności, zastrzeżonego charakteru i poufności ujawnianych informacji oraz częstotliwości ujawniania zgodnie z art. 432 ust. 1, art. 432 ust. 2 i art. 433 rozporządzenia (UE) nr 575/2013;</w:t>
      </w:r>
    </w:p>
    <w:p w:rsidR="00231C52" w:rsidRPr="001B3EFF" w:rsidRDefault="00FF1069" w:rsidP="00C938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B3EFF">
        <w:rPr>
          <w:rFonts w:ascii="Arial" w:hAnsi="Arial" w:cs="Arial"/>
        </w:rPr>
        <w:t>„Zasad Ładu Korporacyjnego dla instytucji nadzorowanych” wydanych przez Komisję Nadzoru Finansowego,</w:t>
      </w:r>
    </w:p>
    <w:p w:rsidR="00231C52" w:rsidRDefault="00FF1069" w:rsidP="00C9384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B3EFF">
        <w:rPr>
          <w:rFonts w:ascii="Arial" w:hAnsi="Arial" w:cs="Arial"/>
        </w:rPr>
        <w:t>Statutu Banku.</w:t>
      </w:r>
    </w:p>
    <w:p w:rsidR="00C93840" w:rsidRDefault="00C93840" w:rsidP="00C93840">
      <w:pPr>
        <w:pStyle w:val="Akapitzlist"/>
        <w:spacing w:after="0" w:line="240" w:lineRule="auto"/>
        <w:rPr>
          <w:rFonts w:ascii="Arial" w:hAnsi="Arial" w:cs="Arial"/>
        </w:rPr>
      </w:pPr>
    </w:p>
    <w:p w:rsidR="00C93840" w:rsidRDefault="00C93840" w:rsidP="00C93840">
      <w:pPr>
        <w:pStyle w:val="Akapitzlist"/>
        <w:spacing w:after="0" w:line="240" w:lineRule="auto"/>
        <w:rPr>
          <w:rFonts w:ascii="Arial" w:hAnsi="Arial" w:cs="Arial"/>
        </w:rPr>
      </w:pPr>
    </w:p>
    <w:p w:rsidR="003465E4" w:rsidRDefault="003465E4" w:rsidP="00C93840">
      <w:pPr>
        <w:pStyle w:val="Akapitzlist"/>
        <w:spacing w:after="0" w:line="240" w:lineRule="auto"/>
        <w:rPr>
          <w:rFonts w:ascii="Arial" w:hAnsi="Arial" w:cs="Arial"/>
        </w:rPr>
      </w:pPr>
    </w:p>
    <w:p w:rsidR="003465E4" w:rsidRDefault="003465E4" w:rsidP="00C93840">
      <w:pPr>
        <w:pStyle w:val="Akapitzlist"/>
        <w:spacing w:after="0" w:line="240" w:lineRule="auto"/>
        <w:rPr>
          <w:rFonts w:ascii="Arial" w:hAnsi="Arial" w:cs="Arial"/>
        </w:rPr>
      </w:pPr>
    </w:p>
    <w:p w:rsidR="003465E4" w:rsidRPr="001B3EFF" w:rsidRDefault="003465E4" w:rsidP="00C93840">
      <w:pPr>
        <w:pStyle w:val="Akapitzlist"/>
        <w:spacing w:after="0" w:line="240" w:lineRule="auto"/>
        <w:rPr>
          <w:rFonts w:ascii="Arial" w:hAnsi="Arial" w:cs="Arial"/>
        </w:rPr>
      </w:pPr>
    </w:p>
    <w:p w:rsidR="00231C52" w:rsidRPr="001B3EFF" w:rsidRDefault="00FF1069" w:rsidP="00C93840">
      <w:pPr>
        <w:pStyle w:val="Nagwek1"/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bookmarkStart w:id="2" w:name="_Toc74135344"/>
      <w:r w:rsidRPr="001B3EFF">
        <w:rPr>
          <w:rFonts w:ascii="Arial" w:hAnsi="Arial" w:cs="Arial"/>
          <w:color w:val="auto"/>
          <w:sz w:val="22"/>
          <w:szCs w:val="22"/>
        </w:rPr>
        <w:t>II. Informacje podlegające ogłaszaniu lub udostępnianiu</w:t>
      </w:r>
      <w:bookmarkEnd w:id="2"/>
    </w:p>
    <w:p w:rsidR="00C66973" w:rsidRDefault="00C66973" w:rsidP="00C93840">
      <w:pPr>
        <w:spacing w:after="0" w:line="240" w:lineRule="auto"/>
        <w:jc w:val="center"/>
        <w:rPr>
          <w:rFonts w:ascii="Arial" w:hAnsi="Arial" w:cs="Arial"/>
        </w:rPr>
      </w:pPr>
    </w:p>
    <w:p w:rsidR="00231C52" w:rsidRPr="001B3EFF" w:rsidRDefault="00FF1069" w:rsidP="00C93840">
      <w:pPr>
        <w:spacing w:after="0" w:line="240" w:lineRule="auto"/>
        <w:jc w:val="center"/>
        <w:rPr>
          <w:rFonts w:ascii="Arial" w:hAnsi="Arial" w:cs="Arial"/>
        </w:rPr>
      </w:pPr>
      <w:r w:rsidRPr="001B3EFF">
        <w:rPr>
          <w:rFonts w:ascii="Arial" w:hAnsi="Arial" w:cs="Arial"/>
        </w:rPr>
        <w:t>§ 4</w:t>
      </w:r>
    </w:p>
    <w:p w:rsidR="00231C52" w:rsidRPr="001B3EFF" w:rsidRDefault="00FF1069" w:rsidP="00C938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Bank przyjmując i realizując niniejszą Politykę spełnia warunki „małej i niezłożonej instytucji”  zgodnie z art. 4 ust. 1 pkt 145 Rozporządzenia.</w:t>
      </w:r>
    </w:p>
    <w:p w:rsidR="00231C52" w:rsidRPr="001B3EFF" w:rsidRDefault="00FF1069" w:rsidP="00C938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Bank nie dokonuje ujawniania informacji uznanych za nieistotne, zgodnie z art. 432 ust. 1 Rozporządzenia, jeżeli ich pominięcie lub błędne przedstawienie nie może zmienić lub wpłynąć na ocenę lub decyzję użytkownika tych informacji, który opiera się na nich na potrzeby podjęcia decyzji ekonomicznych – pominięte rodzaje informacji są wyraźnie zaznaczane w treści dokumentu ujawnienia.</w:t>
      </w:r>
    </w:p>
    <w:p w:rsidR="00231C52" w:rsidRPr="001B3EFF" w:rsidRDefault="00FF1069" w:rsidP="00C938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Bank pomija również informacje, które uznaje się za zastrzeżone lub poufne zgodnie z art. 432 ust. 2 Rozporządzenia, z wyjątkiem informacji podlegających ujawnieniu określonych w art. 437 i 450 Rozporządzenia – pominięte rodzaje informacji są wyraźnie zaznaczane w treści dokumentu ujawnienia.</w:t>
      </w:r>
    </w:p>
    <w:p w:rsidR="00231C52" w:rsidRPr="001B3EFF" w:rsidRDefault="00FF1069" w:rsidP="00C938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W zakresie ust. 2 i ust. 3 Bank stosuje odpowiednie wytyczne wydane przez Europejski Urząd Nadzoru Bankowego zgodnie z art. 432 Rozporządzenia.</w:t>
      </w:r>
    </w:p>
    <w:p w:rsidR="00231C52" w:rsidRPr="001B3EFF" w:rsidRDefault="00FF1069" w:rsidP="00C9384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B3EFF">
        <w:rPr>
          <w:rFonts w:ascii="Arial" w:hAnsi="Arial" w:cs="Arial"/>
          <w:b/>
          <w:bCs/>
        </w:rPr>
        <w:t>Bank w zakresie informacji wymaganych przez Część Ósmą Rozporządzenia, uwzględniając ust. 1 ogłasza informacje dotyczące: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strategii i procesów zarządzania oddzielnie dla każdej kategorii ryzyka – zgodnie z </w:t>
      </w:r>
      <w:r w:rsidRPr="001B3EFF">
        <w:rPr>
          <w:rFonts w:ascii="Arial" w:hAnsi="Arial" w:cs="Arial"/>
          <w:b/>
          <w:bCs/>
        </w:rPr>
        <w:t>art.</w:t>
      </w:r>
      <w:r w:rsidRPr="001B3EFF">
        <w:rPr>
          <w:rFonts w:ascii="Arial" w:hAnsi="Arial" w:cs="Arial"/>
        </w:rPr>
        <w:t xml:space="preserve"> </w:t>
      </w:r>
      <w:r w:rsidRPr="001B3EFF">
        <w:rPr>
          <w:rFonts w:ascii="Arial" w:hAnsi="Arial" w:cs="Arial"/>
          <w:b/>
          <w:bCs/>
        </w:rPr>
        <w:t xml:space="preserve">435 ust. 1 lit a </w:t>
      </w:r>
      <w:r w:rsidRPr="001B3EFF">
        <w:rPr>
          <w:rFonts w:ascii="Arial" w:hAnsi="Arial" w:cs="Arial"/>
        </w:rPr>
        <w:t>Rozporządzenia;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oświadczenia Zarządu na temat adekwatności rozwiązań dotyczących zarządzania ryzykiem dających zapewnienie, że stosowane systemy zarządzania ryzykiem są adekwatne z punktu widzenia profilu ryzyka i strategii Banku zgodnie z </w:t>
      </w:r>
      <w:r w:rsidRPr="001B3EFF">
        <w:rPr>
          <w:rFonts w:ascii="Arial" w:hAnsi="Arial" w:cs="Arial"/>
          <w:b/>
          <w:bCs/>
        </w:rPr>
        <w:t xml:space="preserve">art.  435 ust.1 lit. e) </w:t>
      </w:r>
      <w:r w:rsidRPr="001B3EFF">
        <w:rPr>
          <w:rFonts w:ascii="Arial" w:hAnsi="Arial" w:cs="Arial"/>
        </w:rPr>
        <w:t>Rozporządzenia;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zatwierdzonego przez Zarząd zwięzłego oświadczenia na temat ryzyka zgodnie z </w:t>
      </w:r>
      <w:r w:rsidRPr="001B3EFF">
        <w:rPr>
          <w:rFonts w:ascii="Arial" w:hAnsi="Arial" w:cs="Arial"/>
          <w:b/>
          <w:bCs/>
        </w:rPr>
        <w:t>art. 435 ust.1 lit. f)</w:t>
      </w:r>
      <w:r w:rsidRPr="001B3EFF">
        <w:rPr>
          <w:rFonts w:ascii="Arial" w:hAnsi="Arial" w:cs="Arial"/>
        </w:rPr>
        <w:t xml:space="preserve"> Rozporządzenia, w którym pokrótce omówiono ogólny profil ryzyka Banku związany ze strategią działalności. Oświadczenie takie zawiera:</w:t>
      </w:r>
    </w:p>
    <w:p w:rsidR="00231C52" w:rsidRPr="001B3EFF" w:rsidRDefault="00FF1069" w:rsidP="00C93840">
      <w:pPr>
        <w:pStyle w:val="Akapitzlist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(i) kluczowe wskaźniki i dane liczbowe zapewniające zewnętrznym zainteresowanym stronom całościowy obraz procesu zarządzania ryzykiem przez Bank, w tym interakcji między profilem ryzyka Banku, a tolerancją na ryzyko;</w:t>
      </w:r>
    </w:p>
    <w:p w:rsidR="00231C52" w:rsidRPr="001B3EFF" w:rsidRDefault="00FF1069" w:rsidP="00C93840">
      <w:pPr>
        <w:pStyle w:val="Akapitzlist"/>
        <w:spacing w:after="0" w:line="240" w:lineRule="auto"/>
        <w:ind w:left="1276" w:hanging="425"/>
        <w:jc w:val="both"/>
        <w:rPr>
          <w:rFonts w:ascii="Arial" w:hAnsi="Arial" w:cs="Arial"/>
          <w:iCs/>
        </w:rPr>
      </w:pPr>
      <w:r w:rsidRPr="001B3EFF">
        <w:rPr>
          <w:rFonts w:ascii="Arial" w:hAnsi="Arial" w:cs="Arial"/>
          <w:iCs/>
        </w:rPr>
        <w:t>(ii)</w:t>
      </w:r>
      <w:r w:rsidRPr="001B3EFF">
        <w:rPr>
          <w:rFonts w:ascii="Arial" w:hAnsi="Arial" w:cs="Arial"/>
          <w:i/>
        </w:rPr>
        <w:t xml:space="preserve"> </w:t>
      </w:r>
      <w:r w:rsidRPr="001B3EFF">
        <w:rPr>
          <w:rFonts w:ascii="Arial" w:hAnsi="Arial" w:cs="Arial"/>
          <w:iCs/>
        </w:rPr>
        <w:t>informacje dotyczące transakcji wewnątrzgrupowych i transakcji z podmiotami powiązanymi, które to transakcje mogą mieć istotny wpływ na profil ryzyka skonsolidowanej grupy – o ile Bank ma podmioty zależne;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informacje na temat liczby stanowisk dyrektorskich, zajmowanych przez członków Zarządu oraz Rady Nadzorczej – zgodnie z </w:t>
      </w:r>
      <w:r w:rsidRPr="001B3EFF">
        <w:rPr>
          <w:rFonts w:ascii="Arial" w:hAnsi="Arial" w:cs="Arial"/>
          <w:b/>
          <w:bCs/>
        </w:rPr>
        <w:t>art. 435 ust. 2 lit. a</w:t>
      </w:r>
      <w:r w:rsidRPr="001B3EFF">
        <w:rPr>
          <w:rFonts w:ascii="Arial" w:hAnsi="Arial" w:cs="Arial"/>
        </w:rPr>
        <w:t>) Rozporządzenia;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informacje na temat polityki rekrutacji członków Zarządu oraz Rady Nadzorczej zgodnie z </w:t>
      </w:r>
      <w:r w:rsidRPr="001B3EFF">
        <w:rPr>
          <w:rFonts w:ascii="Arial" w:hAnsi="Arial" w:cs="Arial"/>
          <w:b/>
          <w:bCs/>
        </w:rPr>
        <w:t>art.  435 ust. 2 lit. b);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informacje na temat polityki zapewniania różnorodności wyboru członków Zarządu i Rady Nadzorczej zgodnie z </w:t>
      </w:r>
      <w:r w:rsidRPr="001B3EFF">
        <w:rPr>
          <w:rFonts w:ascii="Arial" w:hAnsi="Arial" w:cs="Arial"/>
          <w:b/>
          <w:bCs/>
        </w:rPr>
        <w:t>art. 435 ust. 2 lit. c)</w:t>
      </w:r>
      <w:r w:rsidRPr="001B3EFF">
        <w:rPr>
          <w:rFonts w:ascii="Arial" w:hAnsi="Arial" w:cs="Arial"/>
        </w:rPr>
        <w:t xml:space="preserve"> Rozporządzenia;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pełne uzgodnienie pozycji kapitału podstawowego </w:t>
      </w:r>
      <w:proofErr w:type="spellStart"/>
      <w:r w:rsidRPr="001B3EFF">
        <w:rPr>
          <w:rFonts w:ascii="Arial" w:hAnsi="Arial" w:cs="Arial"/>
        </w:rPr>
        <w:t>Tier</w:t>
      </w:r>
      <w:proofErr w:type="spellEnd"/>
      <w:r w:rsidRPr="001B3EFF">
        <w:rPr>
          <w:rFonts w:ascii="Arial" w:hAnsi="Arial" w:cs="Arial"/>
        </w:rPr>
        <w:t xml:space="preserve"> I, pozycji dodatkowych w </w:t>
      </w:r>
      <w:proofErr w:type="spellStart"/>
      <w:r w:rsidRPr="001B3EFF">
        <w:rPr>
          <w:rFonts w:ascii="Arial" w:hAnsi="Arial" w:cs="Arial"/>
        </w:rPr>
        <w:t>Tier</w:t>
      </w:r>
      <w:proofErr w:type="spellEnd"/>
      <w:r w:rsidRPr="001B3EFF">
        <w:rPr>
          <w:rFonts w:ascii="Arial" w:hAnsi="Arial" w:cs="Arial"/>
        </w:rPr>
        <w:t xml:space="preserve"> I oraz pozycji w </w:t>
      </w:r>
      <w:proofErr w:type="spellStart"/>
      <w:r w:rsidRPr="001B3EFF">
        <w:rPr>
          <w:rFonts w:ascii="Arial" w:hAnsi="Arial" w:cs="Arial"/>
        </w:rPr>
        <w:t>Tier</w:t>
      </w:r>
      <w:proofErr w:type="spellEnd"/>
      <w:r w:rsidRPr="001B3EFF">
        <w:rPr>
          <w:rFonts w:ascii="Arial" w:hAnsi="Arial" w:cs="Arial"/>
        </w:rPr>
        <w:t xml:space="preserve"> II, jak również filtrów i odliczeń stosowanych do funduszy własnych danej instytucji na mocy art. 32-36, 56, 66 i 79, z bilansem w zbadanym sprawozdaniu finansowym zgodnie z </w:t>
      </w:r>
      <w:r w:rsidRPr="001B3EFF">
        <w:rPr>
          <w:rFonts w:ascii="Arial" w:hAnsi="Arial" w:cs="Arial"/>
          <w:b/>
          <w:bCs/>
        </w:rPr>
        <w:t>art.</w:t>
      </w:r>
      <w:r w:rsidRPr="001B3EFF">
        <w:rPr>
          <w:rFonts w:ascii="Arial" w:hAnsi="Arial" w:cs="Arial"/>
        </w:rPr>
        <w:t xml:space="preserve"> </w:t>
      </w:r>
      <w:r w:rsidRPr="001B3EFF">
        <w:rPr>
          <w:rFonts w:ascii="Arial" w:hAnsi="Arial" w:cs="Arial"/>
          <w:b/>
          <w:bCs/>
        </w:rPr>
        <w:t>437 lit. a</w:t>
      </w:r>
      <w:r w:rsidRPr="001B3EFF">
        <w:rPr>
          <w:rFonts w:ascii="Arial" w:hAnsi="Arial" w:cs="Arial"/>
        </w:rPr>
        <w:t xml:space="preserve"> Rozporządzenia;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rezultaty procesu oceny adekwatności kapitału wewnętrznego zgodnie z art</w:t>
      </w:r>
      <w:r w:rsidRPr="001B3EFF">
        <w:rPr>
          <w:rFonts w:ascii="Arial" w:hAnsi="Arial" w:cs="Arial"/>
          <w:b/>
          <w:bCs/>
        </w:rPr>
        <w:t>. 438 lit. c)</w:t>
      </w:r>
      <w:r w:rsidRPr="001B3EFF">
        <w:rPr>
          <w:rFonts w:ascii="Arial" w:hAnsi="Arial" w:cs="Arial"/>
        </w:rPr>
        <w:t xml:space="preserve"> Rozporządzenia - pod warunkiem skierowania do Banku wniosku Komisji Nadzoru Finansowego;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B3EFF">
        <w:rPr>
          <w:rFonts w:ascii="Arial" w:hAnsi="Arial" w:cs="Arial"/>
        </w:rPr>
        <w:t>całkowitą kwotę ekspozycji ważonej ryzykiem i odnośny łączny wymóg w zakresie funduszy własnych określone zgodnie z art. 92 Rozporządzenia, w podziale na poszczególne kategorie ryzyka określone w części trzeciej Rozporządzenia (wymogi kapitałowe), oraz, w stosownych przypadkach, wyjaśnienie skutku, jaki dla obliczenia kwoty funduszy własnych i kwoty ekspozycji ważonej ryzykiem wynika z zastosowania dolnych limitów dla kapitału i nieodliczania pozycji od funduszy własnych</w:t>
      </w:r>
      <w:r w:rsidR="005E1CE2" w:rsidRPr="001B3EFF">
        <w:rPr>
          <w:rFonts w:ascii="Arial" w:hAnsi="Arial" w:cs="Arial"/>
        </w:rPr>
        <w:t xml:space="preserve"> zgodnie z </w:t>
      </w:r>
      <w:r w:rsidR="005E1CE2" w:rsidRPr="001B3EFF">
        <w:rPr>
          <w:rFonts w:ascii="Arial" w:hAnsi="Arial" w:cs="Arial"/>
          <w:b/>
          <w:bCs/>
        </w:rPr>
        <w:t>art. 438 lit. d)</w:t>
      </w:r>
      <w:r w:rsidR="0003140A">
        <w:rPr>
          <w:rFonts w:ascii="Arial" w:hAnsi="Arial" w:cs="Arial"/>
          <w:b/>
          <w:bCs/>
        </w:rPr>
        <w:t>;</w:t>
      </w:r>
      <w:r w:rsidR="005E1CE2" w:rsidRPr="001B3EFF">
        <w:rPr>
          <w:rFonts w:ascii="Arial" w:hAnsi="Arial" w:cs="Arial"/>
          <w:b/>
          <w:bCs/>
        </w:rPr>
        <w:t xml:space="preserve">  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najważniejsze wskaźniki zgodnie z </w:t>
      </w:r>
      <w:r w:rsidRPr="001B3EFF">
        <w:rPr>
          <w:rFonts w:ascii="Arial" w:hAnsi="Arial" w:cs="Arial"/>
          <w:b/>
          <w:bCs/>
        </w:rPr>
        <w:t>art. 447</w:t>
      </w:r>
      <w:r w:rsidRPr="001B3EFF">
        <w:rPr>
          <w:rFonts w:ascii="Arial" w:hAnsi="Arial" w:cs="Arial"/>
        </w:rPr>
        <w:t xml:space="preserve"> Rozporządzenia, w postaci:</w:t>
      </w:r>
    </w:p>
    <w:p w:rsidR="00231C52" w:rsidRPr="001B3EFF" w:rsidRDefault="00FF1069" w:rsidP="00C93840">
      <w:pPr>
        <w:pStyle w:val="Akapitzlist"/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(i) strukturę ich funduszy własnych i wymogów w zakresie funduszy własnych, obliczonych zgodnie z art. 92 Rozporządzenia;</w:t>
      </w:r>
    </w:p>
    <w:p w:rsidR="00231C52" w:rsidRPr="001B3EFF" w:rsidRDefault="00FF1069" w:rsidP="00C93840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(ii) łączną kwotę ekspozycji na ryzyko, obliczoną zgodnie z art. 92 ust. 3 art. 92 Rozporządzenia;</w:t>
      </w:r>
    </w:p>
    <w:p w:rsidR="00231C52" w:rsidRPr="001B3EFF" w:rsidRDefault="00FF1069" w:rsidP="00C93840">
      <w:pPr>
        <w:pStyle w:val="Akapitzlist"/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(iii) w stosownych przypadkach - kwotę i strukturę dodatkowych funduszy własnych, które Bank zobowiązany jest posiadać zgodnie z art. 104 ust. 1 lit. a) dyrektywy 2013/36/UE ;</w:t>
      </w:r>
    </w:p>
    <w:p w:rsidR="00231C52" w:rsidRPr="001B3EFF" w:rsidRDefault="00FF1069" w:rsidP="00C93840">
      <w:pPr>
        <w:pStyle w:val="Akapitzlist"/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(iv) wymóg połączonego bufora, który Bank zobowiązany jest posiadać zgodnie z tytułem VII rozdział 4 dyrektywy 2013/36/UE;</w:t>
      </w:r>
    </w:p>
    <w:p w:rsidR="00231C52" w:rsidRPr="001B3EFF" w:rsidRDefault="00FF1069" w:rsidP="00C9384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(v) wskaźnik dźwigni oraz miarę ekspozycji całkowitej wskaźnika dźwigni, obliczone zgodnie z art. 429 Rozporządzenia;</w:t>
      </w:r>
    </w:p>
    <w:p w:rsidR="00231C52" w:rsidRPr="001B3EFF" w:rsidRDefault="00FF1069" w:rsidP="00C9384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(vi) informacje w odniesieniu do ich wskaźnika pokrycia płynności (LCR) obliczonego zgodnie z aktem delegowanym, o którym mowa w art. 460 ust. 1 Rozporządzenia:</w:t>
      </w:r>
    </w:p>
    <w:p w:rsidR="00231C52" w:rsidRPr="001B3EFF" w:rsidRDefault="00FF1069" w:rsidP="00C93840">
      <w:pPr>
        <w:pStyle w:val="Akapitzlist"/>
        <w:spacing w:after="0" w:line="240" w:lineRule="auto"/>
        <w:ind w:left="1304" w:hanging="11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- średnią lub średnie, stosownie do przypadku, swoich wskaźników pokrycia płynności (LCR) na podstawie obserwacji na koniec miesiąca w okresie poprzedzających 12 miesięcy dla każdego kwartału odnośnego okresu, za który informacje podlegają ujawnieniu;</w:t>
      </w:r>
    </w:p>
    <w:p w:rsidR="00231C52" w:rsidRPr="001B3EFF" w:rsidRDefault="00FF1069" w:rsidP="00C93840">
      <w:pPr>
        <w:pStyle w:val="Akapitzlist"/>
        <w:spacing w:after="0" w:line="240" w:lineRule="auto"/>
        <w:ind w:left="1304" w:hanging="11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- średnią lub średnie, stosownie do przypadku, łącznych aktywów płynnych, po zastosowaniu odpowiednich redukcji wartości, uwzględnionych w zabezpieczeniu przed utratą płynności zgodnie z aktem delegowanym, o którym mowa w art. 460 ust. 1 Rozporządzenia, na podstawie obserwacji na koniec miesiąca w okresie poprzedzających 12 miesięcy dla każdego kwartału odnośnego okresu, za który informacje podlegają ujawnieniu;</w:t>
      </w:r>
    </w:p>
    <w:p w:rsidR="00231C52" w:rsidRPr="001B3EFF" w:rsidRDefault="00FF1069" w:rsidP="00C93840">
      <w:pPr>
        <w:pStyle w:val="Akapitzlist"/>
        <w:spacing w:after="0" w:line="240" w:lineRule="auto"/>
        <w:ind w:left="1304" w:hanging="11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-  średnie ich wypływy i wpływy płynności oraz wypływy płynności, obliczone zgodnie z aktem delegowanym, o którym mowa w art. 460 ust. 1 Rozporządzenia, na podstawie obserwacji na koniec miesiąca w okresie poprzedzających 12 miesięcy dla każdego kwartału odnośnego okresu, za który informacje podlegają ujawnieniu;</w:t>
      </w:r>
    </w:p>
    <w:p w:rsidR="00231C52" w:rsidRPr="001B3EFF" w:rsidRDefault="00FF1069" w:rsidP="00C9384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(vii) następujące informacje związane z ich wymogiem dotyczącym stabilnego finansowania netto, obliczonym zgodnie z częścią szóstą tytuł IV Rozporządzenia:</w:t>
      </w:r>
    </w:p>
    <w:p w:rsidR="00231C52" w:rsidRPr="001B3EFF" w:rsidRDefault="00FF1069" w:rsidP="00C93840">
      <w:pPr>
        <w:pStyle w:val="Akapitzlist"/>
        <w:spacing w:after="0" w:line="240" w:lineRule="auto"/>
        <w:ind w:left="1361" w:hanging="28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- wskaźnik stabilnego finansowania netto na koniec każdego kwartału odnośnego okresu, za który informacje podlegają ujawnieniu;</w:t>
      </w:r>
    </w:p>
    <w:p w:rsidR="00231C52" w:rsidRPr="001B3EFF" w:rsidRDefault="00FF1069" w:rsidP="00C93840">
      <w:pPr>
        <w:pStyle w:val="Akapitzlist"/>
        <w:spacing w:after="0" w:line="240" w:lineRule="auto"/>
        <w:ind w:left="1361" w:hanging="28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-  dostępne stabilne finansowanie na koniec każdego kwartału odnośnego okresu, za który informacje podlegają ujawnieniu;</w:t>
      </w:r>
    </w:p>
    <w:p w:rsidR="00231C52" w:rsidRPr="001B3EFF" w:rsidRDefault="00FF1069" w:rsidP="00C93840">
      <w:pPr>
        <w:pStyle w:val="Akapitzlist"/>
        <w:spacing w:after="0" w:line="240" w:lineRule="auto"/>
        <w:ind w:left="1361" w:hanging="283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-  wymagane stabilne finansowanie na koniec każdego kwartału odnośnego okresu, za który informacje podlegają ujawnieniu;</w:t>
      </w:r>
    </w:p>
    <w:p w:rsidR="00231C52" w:rsidRPr="001B3EFF" w:rsidRDefault="00FF1069" w:rsidP="00C9384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(viii) wskaźnik funduszy własnych i zobowiązań kwalifikowalnych oraz ich elementy składowe, licznik i mianownik, obliczone zgodnie z art. 92a i 92b Rozporządzenia i przedstawione w podziale na szczeblu każdej grupy objętej planem restrukturyzacji i uporządkowanej likwidacji, w stosownych przypadkach;</w:t>
      </w:r>
    </w:p>
    <w:p w:rsidR="00231C52" w:rsidRPr="001B3EFF" w:rsidRDefault="00FF1069" w:rsidP="00C9384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1B3EFF">
        <w:rPr>
          <w:rFonts w:ascii="Arial" w:hAnsi="Arial" w:cs="Arial"/>
          <w:b/>
          <w:bCs/>
        </w:rPr>
        <w:t>informacje na temat polityki wynagrodzeń: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(i) informacje dotyczące procesu decyzyjnego stosowanego przy ustalaniu polityki wynagrodzeń, a także liczbę posiedzeń głównego organu odpowiedzialnego za nadzór nad wynagrodzeniami zorganizowanych w danym roku obrachunkowym, w tym - w stosownych przypadkach - informacje na temat składu i zakresu zadań komitetu ds. wynagrodzeń, konsultanta zewnętrznego, z którego usług skorzystano przy ustalaniu polityki wynagrodzeń, oraz roli odpowiednich zainteresowanych stron</w:t>
      </w:r>
      <w:r w:rsidR="005E1CE2" w:rsidRPr="001B3EFF">
        <w:rPr>
          <w:rFonts w:ascii="Arial" w:hAnsi="Arial" w:cs="Arial"/>
          <w:sz w:val="22"/>
          <w:szCs w:val="22"/>
        </w:rPr>
        <w:t xml:space="preserve"> </w:t>
      </w:r>
      <w:r w:rsidR="005E1CE2" w:rsidRPr="001B3EFF">
        <w:rPr>
          <w:rFonts w:ascii="Arial" w:hAnsi="Arial" w:cs="Arial"/>
          <w:b/>
          <w:bCs/>
          <w:sz w:val="22"/>
          <w:szCs w:val="22"/>
        </w:rPr>
        <w:t>( art.450 ust.1a)</w:t>
      </w:r>
      <w:r w:rsidRPr="001B3EFF">
        <w:rPr>
          <w:rFonts w:ascii="Arial" w:hAnsi="Arial" w:cs="Arial"/>
          <w:b/>
          <w:bCs/>
          <w:sz w:val="22"/>
          <w:szCs w:val="22"/>
        </w:rPr>
        <w:t>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(ii) informacje na temat powiązania między wynagrodzeniem pracowników a ich wynikami</w:t>
      </w:r>
      <w:r w:rsidR="006D5939" w:rsidRPr="001B3EFF">
        <w:rPr>
          <w:rFonts w:ascii="Arial" w:hAnsi="Arial" w:cs="Arial"/>
          <w:sz w:val="22"/>
          <w:szCs w:val="22"/>
        </w:rPr>
        <w:t xml:space="preserve"> </w:t>
      </w:r>
      <w:r w:rsidR="005E1CE2" w:rsidRPr="001B3EFF">
        <w:rPr>
          <w:rFonts w:ascii="Arial" w:hAnsi="Arial" w:cs="Arial"/>
          <w:b/>
          <w:bCs/>
          <w:sz w:val="22"/>
          <w:szCs w:val="22"/>
        </w:rPr>
        <w:t>( art.450 ust.1b)</w:t>
      </w:r>
      <w:r w:rsidRPr="001B3EFF">
        <w:rPr>
          <w:rFonts w:ascii="Arial" w:hAnsi="Arial" w:cs="Arial"/>
          <w:b/>
          <w:bCs/>
          <w:sz w:val="22"/>
          <w:szCs w:val="22"/>
        </w:rPr>
        <w:t>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(iii) najważniejsze informacje na temat cech charakterystycznych systemu wynagrodzeń, w tym informacje na temat kryteriów stosowanych przy pomiarze wyników i korekcie ryzyka, polityki odraczania wypłaty i kryteriów nabywania uprawnień</w:t>
      </w:r>
      <w:r w:rsidR="006D5939" w:rsidRPr="001B3EFF">
        <w:rPr>
          <w:rFonts w:ascii="Arial" w:hAnsi="Arial" w:cs="Arial"/>
          <w:b/>
          <w:bCs/>
          <w:sz w:val="22"/>
          <w:szCs w:val="22"/>
        </w:rPr>
        <w:t>( art.450 ust.1c);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(iv) stosunek stałych składników wynagrodzenia do zmiennych składników wynagrodzenia, ustalony zgodnie z art. 94 ust. 1 lit. g) dyrektywy 2013/36/UE</w:t>
      </w:r>
      <w:r w:rsidR="006D5939" w:rsidRPr="001B3EFF">
        <w:rPr>
          <w:rFonts w:ascii="Arial" w:hAnsi="Arial" w:cs="Arial"/>
          <w:sz w:val="22"/>
          <w:szCs w:val="22"/>
        </w:rPr>
        <w:t xml:space="preserve"> </w:t>
      </w:r>
      <w:r w:rsidR="006D5939" w:rsidRPr="001B3EFF">
        <w:rPr>
          <w:rFonts w:ascii="Arial" w:hAnsi="Arial" w:cs="Arial"/>
          <w:b/>
          <w:bCs/>
          <w:sz w:val="22"/>
          <w:szCs w:val="22"/>
        </w:rPr>
        <w:t>( art.450 ust.1d);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(v) zagregowane informacje ilościowe na temat wynagrodzeń, z podziałem na kadrę kierowniczą wyższego szczebla i członków personelu, których działalność zawodowa ma istotny wpływ na profil ryzyka instytucji, zawierające następujące dane</w:t>
      </w:r>
      <w:r w:rsidR="006D5939" w:rsidRPr="001B3EFF">
        <w:rPr>
          <w:rFonts w:ascii="Arial" w:hAnsi="Arial" w:cs="Arial"/>
          <w:sz w:val="22"/>
          <w:szCs w:val="22"/>
        </w:rPr>
        <w:t xml:space="preserve"> </w:t>
      </w:r>
      <w:r w:rsidR="006D5939" w:rsidRPr="001B3EFF">
        <w:rPr>
          <w:rFonts w:ascii="Arial" w:hAnsi="Arial" w:cs="Arial"/>
          <w:b/>
          <w:bCs/>
          <w:sz w:val="22"/>
          <w:szCs w:val="22"/>
        </w:rPr>
        <w:t>(art.450 ust.1h);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kwoty wynagrodzeń przyznanych za dany rok obrachunkowy, z podziałem na wynagrodzenie stałe, w tym opis stałych składników, i na wynagrodzenie zmienne, oraz liczbę beneficjentów;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kwoty i formy przyznanego wynagrodzenia zmiennego, z podziałem na świadczenia pieniężne, akcje i instrumenty związane z akcjami oraz inne rodzaje, oddzielnie dla części wynagrodzenia płatnej z góry i części z odroczoną wypłatą;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kwoty wynagrodzenia z odroczoną wypłatą przyznanego za poprzednie okresy wykonywania pracy, z podziałem na kwotę przysługującą w danym roku obrachunkowym i kwotę przysługującą w następnych latach;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kwotę wynagrodzenia z odroczoną wypłatą przysługującego w danym roku obrachunkowym, wypłaconego w tym roku obrachunkowym i zmniejszonego na skutek korekt wyników;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gwarantowane wypłaty wynagrodzenia zmiennego w danym roku obrachunkowym oraz liczbę beneficjentów takich wypłat;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odprawy przyznane w poprzednich okresach i wypłacone w danym roku obrachunkowym;</w:t>
      </w:r>
    </w:p>
    <w:p w:rsidR="00231C52" w:rsidRPr="001B3EFF" w:rsidRDefault="00FF1069" w:rsidP="00C93840">
      <w:pPr>
        <w:pStyle w:val="text-justify"/>
        <w:numPr>
          <w:ilvl w:val="0"/>
          <w:numId w:val="27"/>
        </w:numPr>
        <w:spacing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kwoty odpraw przyznanych w danym roku obrachunkowym, z podziałem na kwoty wypłacone z góry i wypłaty odroczone, liczbę beneficjentów tych płatności oraz wysokość najwyższej płatności z tego tytułu przyznanej na rzecz jednej osoby;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(vi) liczba osób, które otrzymały wynagrodzenie w wysokości co najmniej 1 mln EUR w danym roku obrachunkowym: dla osób, które otrzymały wynagrodzenia w przedziale między 1 mln EUR a 5 mln EUR - w podziale na przedziały wynagrodzeń o wielkości 500 000 EUR, a dla osób, które otrzymały wynagrodzenia w kwocie co najmniej 5 mln EUR - w podziale na przedziały wynagrodzeń o wielkości 1 mln EUR</w:t>
      </w:r>
      <w:r w:rsidR="006D5939" w:rsidRPr="001B3EFF">
        <w:rPr>
          <w:rFonts w:ascii="Arial" w:hAnsi="Arial" w:cs="Arial"/>
          <w:sz w:val="22"/>
          <w:szCs w:val="22"/>
        </w:rPr>
        <w:t xml:space="preserve"> </w:t>
      </w:r>
      <w:r w:rsidR="006D5939" w:rsidRPr="001B3EFF">
        <w:rPr>
          <w:rFonts w:ascii="Arial" w:hAnsi="Arial" w:cs="Arial"/>
          <w:b/>
          <w:bCs/>
          <w:sz w:val="22"/>
          <w:szCs w:val="22"/>
        </w:rPr>
        <w:t>( art.450 ust.1i)</w:t>
      </w:r>
      <w:r w:rsidRPr="001B3EFF">
        <w:rPr>
          <w:rFonts w:ascii="Arial" w:hAnsi="Arial" w:cs="Arial"/>
          <w:b/>
          <w:bCs/>
          <w:sz w:val="22"/>
          <w:szCs w:val="22"/>
        </w:rPr>
        <w:t>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(vii) na żądanie państwa członkowskiego lub właściwego organu - łączne wynagrodzenie dla każdego członka organu zarządzającego lub kadry kierowniczej wyższego szczebla</w:t>
      </w:r>
      <w:r w:rsidR="006D5939" w:rsidRPr="001B3EFF">
        <w:rPr>
          <w:rFonts w:ascii="Arial" w:hAnsi="Arial" w:cs="Arial"/>
          <w:sz w:val="22"/>
          <w:szCs w:val="22"/>
        </w:rPr>
        <w:t xml:space="preserve"> </w:t>
      </w:r>
      <w:r w:rsidR="006D5939" w:rsidRPr="001B3EFF">
        <w:rPr>
          <w:rFonts w:ascii="Arial" w:hAnsi="Arial" w:cs="Arial"/>
          <w:b/>
          <w:bCs/>
          <w:sz w:val="22"/>
          <w:szCs w:val="22"/>
        </w:rPr>
        <w:t>( art.450 ust.1j);</w:t>
      </w:r>
    </w:p>
    <w:p w:rsidR="00231C52" w:rsidRPr="001B3EFF" w:rsidRDefault="00FF1069" w:rsidP="00C93840">
      <w:pPr>
        <w:pStyle w:val="text-justify"/>
        <w:spacing w:beforeAutospacing="0" w:after="0" w:afterAutospacing="0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(viii) informacje na temat tego, czy Bank korzysta z odstępstwa określonego w art. 94 ust. 3 dyrektywy 2013/36/UE</w:t>
      </w:r>
      <w:r w:rsidR="006D5939" w:rsidRPr="001B3EFF">
        <w:rPr>
          <w:rFonts w:ascii="Arial" w:hAnsi="Arial" w:cs="Arial"/>
          <w:sz w:val="22"/>
          <w:szCs w:val="22"/>
        </w:rPr>
        <w:t xml:space="preserve"> </w:t>
      </w:r>
      <w:r w:rsidR="006D5939" w:rsidRPr="001B3EFF">
        <w:rPr>
          <w:rFonts w:ascii="Arial" w:hAnsi="Arial" w:cs="Arial"/>
          <w:b/>
          <w:bCs/>
          <w:sz w:val="22"/>
          <w:szCs w:val="22"/>
        </w:rPr>
        <w:t>( art.450 ust.1k);</w:t>
      </w:r>
      <w:r w:rsidRPr="001B3EFF">
        <w:rPr>
          <w:rFonts w:ascii="Arial" w:hAnsi="Arial" w:cs="Arial"/>
          <w:b/>
          <w:bCs/>
          <w:sz w:val="22"/>
          <w:szCs w:val="22"/>
        </w:rPr>
        <w:t>.</w:t>
      </w:r>
    </w:p>
    <w:p w:rsidR="00231C52" w:rsidRPr="001B3EFF" w:rsidRDefault="00FF1069" w:rsidP="00C93840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>Bank łącznie z informacjami ujawnianymi  ujawnia ponadto:</w:t>
      </w:r>
    </w:p>
    <w:p w:rsidR="00231C52" w:rsidRPr="001B3EFF" w:rsidRDefault="00FF1069" w:rsidP="00C93840">
      <w:pPr>
        <w:pStyle w:val="text-justify"/>
        <w:numPr>
          <w:ilvl w:val="0"/>
          <w:numId w:val="22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bCs/>
          <w:sz w:val="22"/>
          <w:szCs w:val="22"/>
        </w:rPr>
        <w:t>informacje dotyczące ryzyka płynności i pozycji płynnościowej zgodnie z wymaganiami Rekomendacji P Komisji Nadzoru Finansowego, w zakresie:</w:t>
      </w:r>
    </w:p>
    <w:p w:rsidR="00231C52" w:rsidRPr="001B3EFF" w:rsidRDefault="00FF1069" w:rsidP="00C93840">
      <w:pPr>
        <w:pStyle w:val="text-justify"/>
        <w:numPr>
          <w:ilvl w:val="0"/>
          <w:numId w:val="17"/>
        </w:numPr>
        <w:spacing w:beforeAutospacing="0" w:after="0" w:afterAutospacing="0"/>
        <w:ind w:firstLine="349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organizacji zarządzania płynnością:</w:t>
      </w:r>
    </w:p>
    <w:p w:rsidR="00231C52" w:rsidRPr="001B3EFF" w:rsidRDefault="00FF1069" w:rsidP="00C93840">
      <w:pPr>
        <w:pStyle w:val="text-justify"/>
        <w:numPr>
          <w:ilvl w:val="0"/>
          <w:numId w:val="18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rolę i zakres odpowiedzialności komórek organizacyjnych zaangażowanych w zarządzanie ryzykiem płynności,</w:t>
      </w:r>
    </w:p>
    <w:p w:rsidR="00231C52" w:rsidRPr="001B3EFF" w:rsidRDefault="00FF1069" w:rsidP="00C93840">
      <w:pPr>
        <w:pStyle w:val="text-justify"/>
        <w:numPr>
          <w:ilvl w:val="0"/>
          <w:numId w:val="18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sposób pozyskiwania finansowania działalności,</w:t>
      </w:r>
    </w:p>
    <w:p w:rsidR="00231C52" w:rsidRPr="001B3EFF" w:rsidRDefault="00FF1069" w:rsidP="00C93840">
      <w:pPr>
        <w:pStyle w:val="text-justify"/>
        <w:numPr>
          <w:ilvl w:val="0"/>
          <w:numId w:val="18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stopień scentralizowania funkcji skarbowych i zarządzania płynnością,</w:t>
      </w:r>
    </w:p>
    <w:p w:rsidR="00231C52" w:rsidRPr="001B3EFF" w:rsidRDefault="00FF1069" w:rsidP="00C93840">
      <w:pPr>
        <w:pStyle w:val="text-justify"/>
        <w:numPr>
          <w:ilvl w:val="0"/>
          <w:numId w:val="18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zasady funkcjonowania w ramach Zrzeszenia / Systemu Ochrony,</w:t>
      </w:r>
    </w:p>
    <w:p w:rsidR="00231C52" w:rsidRPr="001B3EFF" w:rsidRDefault="00FF1069" w:rsidP="00C93840">
      <w:pPr>
        <w:pStyle w:val="text-justify"/>
        <w:numPr>
          <w:ilvl w:val="0"/>
          <w:numId w:val="17"/>
        </w:numPr>
        <w:spacing w:beforeAutospacing="0" w:after="0" w:afterAutospacing="0"/>
        <w:ind w:firstLine="349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ujawnień ilościowych, w szczególności:</w:t>
      </w:r>
    </w:p>
    <w:p w:rsidR="00231C52" w:rsidRPr="001B3EFF" w:rsidRDefault="00FF1069" w:rsidP="00C93840">
      <w:pPr>
        <w:pStyle w:val="text-justify"/>
        <w:numPr>
          <w:ilvl w:val="0"/>
          <w:numId w:val="19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rozmiar i skład nadwyżki płynności,</w:t>
      </w:r>
    </w:p>
    <w:p w:rsidR="00231C52" w:rsidRPr="001B3EFF" w:rsidRDefault="00FF1069" w:rsidP="00C93840">
      <w:pPr>
        <w:pStyle w:val="text-justify"/>
        <w:numPr>
          <w:ilvl w:val="0"/>
          <w:numId w:val="19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wielkość wiążących banki nadzorczych miar płynności oraz wskaźnika LCR,</w:t>
      </w:r>
    </w:p>
    <w:p w:rsidR="00231C52" w:rsidRPr="001B3EFF" w:rsidRDefault="00FF1069" w:rsidP="00C93840">
      <w:pPr>
        <w:pStyle w:val="text-justify"/>
        <w:numPr>
          <w:ilvl w:val="0"/>
          <w:numId w:val="19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lukę płynności dla pierwszych trzech przedziałów z uwzględnieniem pozycji bilansowych i pozabilansowych oraz skumulowane luki płynności,</w:t>
      </w:r>
    </w:p>
    <w:p w:rsidR="00231C52" w:rsidRPr="001B3EFF" w:rsidRDefault="00FF1069" w:rsidP="00C93840">
      <w:pPr>
        <w:pStyle w:val="text-justify"/>
        <w:numPr>
          <w:ilvl w:val="0"/>
          <w:numId w:val="19"/>
        </w:numPr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dodatkowe zabezpieczenia płynności funkcjonujące w Zrzeszeniu / Systemie Ochrony,</w:t>
      </w:r>
    </w:p>
    <w:p w:rsidR="00231C52" w:rsidRPr="001B3EFF" w:rsidRDefault="00FF1069" w:rsidP="00C93840">
      <w:pPr>
        <w:pStyle w:val="text-justify"/>
        <w:numPr>
          <w:ilvl w:val="0"/>
          <w:numId w:val="17"/>
        </w:numPr>
        <w:spacing w:beforeAutospacing="0" w:after="0" w:afterAutospacing="0"/>
        <w:ind w:firstLine="349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zakres ujawnień jakościowych, w szczególności: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aspekty ryzyka płynności na które narażony jest Bank,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sposób dywersyfikacji źródeł finansowania,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techniki ograniczania ryzyka płynności,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pojęcia stosowane w procesie mierzenia pozycji płynności i ryzyka płynności,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wyjaśnienie w jaki sposób ryzyko płynności rynku jest odzwierciedlone w procesie zarządzania płynnością płatniczą,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wyjaśnienie sposobu wykorzystania testów warunków skrajnych,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wskazanie w jaki sposób plan awaryjny uwzględnia wyniki testów warunków skrajnych,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politykę utrzymywania rezerwy płynności,</w:t>
      </w:r>
    </w:p>
    <w:p w:rsidR="00231C52" w:rsidRPr="001B3EFF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występowania ograniczeń regulacyjnych odnośnie transferu płynności,</w:t>
      </w:r>
    </w:p>
    <w:p w:rsidR="00231C52" w:rsidRDefault="00FF1069" w:rsidP="00C93840">
      <w:pPr>
        <w:pStyle w:val="text-justify"/>
        <w:numPr>
          <w:ilvl w:val="0"/>
          <w:numId w:val="20"/>
        </w:numPr>
        <w:spacing w:beforeAutospacing="0" w:after="0" w:afterAutospacing="0"/>
        <w:ind w:left="1134" w:hanging="141"/>
        <w:rPr>
          <w:rFonts w:ascii="Arial" w:hAnsi="Arial" w:cs="Arial"/>
          <w:sz w:val="22"/>
          <w:szCs w:val="22"/>
        </w:rPr>
      </w:pPr>
      <w:r w:rsidRPr="001B3EFF">
        <w:rPr>
          <w:rFonts w:ascii="Arial" w:hAnsi="Arial" w:cs="Arial"/>
          <w:sz w:val="22"/>
          <w:szCs w:val="22"/>
        </w:rPr>
        <w:t>częstotliwość i rodzaj sprawozdawczości w zakresie ryzyka płynności.</w:t>
      </w:r>
    </w:p>
    <w:p w:rsidR="007A3369" w:rsidRDefault="007A3369" w:rsidP="00C93840">
      <w:pPr>
        <w:pStyle w:val="Teksttreci20"/>
        <w:numPr>
          <w:ilvl w:val="0"/>
          <w:numId w:val="22"/>
        </w:numPr>
        <w:shd w:val="clear" w:color="auto" w:fill="auto"/>
        <w:suppressAutoHyphens w:val="0"/>
        <w:spacing w:before="0" w:line="240" w:lineRule="auto"/>
        <w:jc w:val="both"/>
        <w:rPr>
          <w:rFonts w:ascii="Arial" w:hAnsi="Arial" w:cs="Arial"/>
          <w:color w:val="000000"/>
        </w:rPr>
      </w:pPr>
      <w:r>
        <w:t xml:space="preserve">Informacje </w:t>
      </w:r>
      <w:r>
        <w:rPr>
          <w:rFonts w:ascii="Arial" w:hAnsi="Arial" w:cs="Arial"/>
          <w:color w:val="000000"/>
        </w:rPr>
        <w:t>wymagane Rekomendacją M Komisji Nadzoru Finansowego o ryzyku operacyjnym, w tym informacje dotyczące strat z tytułu ryzyka operacyjnego,</w:t>
      </w:r>
    </w:p>
    <w:p w:rsidR="004530ED" w:rsidRDefault="004530ED" w:rsidP="00C93840">
      <w:pPr>
        <w:pStyle w:val="Teksttreci20"/>
        <w:numPr>
          <w:ilvl w:val="0"/>
          <w:numId w:val="22"/>
        </w:numPr>
        <w:shd w:val="clear" w:color="auto" w:fill="auto"/>
        <w:suppressAutoHyphens w:val="0"/>
        <w:spacing w:before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zakresie wymaganym </w:t>
      </w:r>
      <w:r>
        <w:rPr>
          <w:rFonts w:ascii="Arial" w:hAnsi="Arial" w:cs="Arial"/>
          <w:bCs/>
        </w:rPr>
        <w:t>Wytycznymi dotyczącymi ujawnienia w zakresie ekspozycji nieobsługiwanych i restrukturyzowanych ( EBA/GL/2018/10) ujawnia informacje :</w:t>
      </w:r>
    </w:p>
    <w:p w:rsidR="004530ED" w:rsidRDefault="004530ED" w:rsidP="00C93840">
      <w:pPr>
        <w:pStyle w:val="Teksttreci20"/>
        <w:numPr>
          <w:ilvl w:val="1"/>
          <w:numId w:val="33"/>
        </w:numPr>
        <w:shd w:val="clear" w:color="auto" w:fill="auto"/>
        <w:suppressAutoHyphens w:val="0"/>
        <w:spacing w:before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Jakość kredytowa ekspozycji restrukturyzowanych,</w:t>
      </w:r>
    </w:p>
    <w:p w:rsidR="004530ED" w:rsidRDefault="004530ED" w:rsidP="00C93840">
      <w:pPr>
        <w:pStyle w:val="Teksttreci20"/>
        <w:numPr>
          <w:ilvl w:val="1"/>
          <w:numId w:val="33"/>
        </w:numPr>
        <w:shd w:val="clear" w:color="auto" w:fill="auto"/>
        <w:suppressAutoHyphens w:val="0"/>
        <w:spacing w:before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Jakość kredytowa ekspozycji obsługiwanych i nieobsługiwanych w podziale według liczby dni przeterminowania,</w:t>
      </w:r>
    </w:p>
    <w:p w:rsidR="004530ED" w:rsidRDefault="004530ED" w:rsidP="00C93840">
      <w:pPr>
        <w:pStyle w:val="Teksttreci20"/>
        <w:numPr>
          <w:ilvl w:val="1"/>
          <w:numId w:val="33"/>
        </w:numPr>
        <w:shd w:val="clear" w:color="auto" w:fill="auto"/>
        <w:suppressAutoHyphens w:val="0"/>
        <w:spacing w:before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Ekspozycje obsługiwane i nieobsługiwane oraz związane z nimi rezerwy,</w:t>
      </w:r>
    </w:p>
    <w:p w:rsidR="004530ED" w:rsidRDefault="004530ED" w:rsidP="00C93840">
      <w:pPr>
        <w:pStyle w:val="Teksttreci20"/>
        <w:numPr>
          <w:ilvl w:val="1"/>
          <w:numId w:val="33"/>
        </w:numPr>
        <w:shd w:val="clear" w:color="auto" w:fill="auto"/>
        <w:suppressAutoHyphens w:val="0"/>
        <w:spacing w:before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uzyskane przez przejecie i postepowanie egzekucyjne.</w:t>
      </w:r>
    </w:p>
    <w:p w:rsidR="00C93840" w:rsidRDefault="00C93840" w:rsidP="00C93840">
      <w:pPr>
        <w:pStyle w:val="Teksttreci20"/>
        <w:shd w:val="clear" w:color="auto" w:fill="auto"/>
        <w:suppressAutoHyphens w:val="0"/>
        <w:spacing w:before="0" w:line="240" w:lineRule="auto"/>
        <w:ind w:left="1440" w:firstLine="0"/>
        <w:jc w:val="both"/>
        <w:rPr>
          <w:rFonts w:ascii="Arial" w:hAnsi="Arial" w:cs="Arial"/>
          <w:color w:val="000000"/>
        </w:rPr>
      </w:pPr>
    </w:p>
    <w:p w:rsidR="00231C52" w:rsidRPr="001B3EFF" w:rsidRDefault="00FF1069" w:rsidP="00C93840">
      <w:pPr>
        <w:pStyle w:val="Nagwek1"/>
        <w:spacing w:before="0" w:line="240" w:lineRule="auto"/>
        <w:jc w:val="center"/>
        <w:rPr>
          <w:rFonts w:ascii="Arial" w:hAnsi="Arial" w:cs="Arial"/>
          <w:sz w:val="22"/>
          <w:szCs w:val="22"/>
        </w:rPr>
      </w:pPr>
      <w:bookmarkStart w:id="3" w:name="_Toc74135345"/>
      <w:r w:rsidRPr="001B3EFF">
        <w:rPr>
          <w:rFonts w:ascii="Arial" w:hAnsi="Arial" w:cs="Arial"/>
          <w:color w:val="auto"/>
          <w:sz w:val="22"/>
          <w:szCs w:val="22"/>
        </w:rPr>
        <w:t>III. Częstotliwość, formy i miejsce ogłaszania informacji</w:t>
      </w:r>
      <w:bookmarkEnd w:id="3"/>
    </w:p>
    <w:p w:rsidR="00231C52" w:rsidRDefault="00FF1069" w:rsidP="00C93840">
      <w:pPr>
        <w:spacing w:after="0" w:line="240" w:lineRule="auto"/>
        <w:jc w:val="center"/>
        <w:rPr>
          <w:rFonts w:ascii="Arial" w:hAnsi="Arial" w:cs="Arial"/>
        </w:rPr>
      </w:pPr>
      <w:r w:rsidRPr="001B3EFF">
        <w:rPr>
          <w:rFonts w:ascii="Arial" w:hAnsi="Arial" w:cs="Arial"/>
        </w:rPr>
        <w:br/>
        <w:t xml:space="preserve">§ </w:t>
      </w:r>
      <w:r w:rsidR="00B63A96" w:rsidRPr="001B3EFF">
        <w:rPr>
          <w:rFonts w:ascii="Arial" w:hAnsi="Arial" w:cs="Arial"/>
        </w:rPr>
        <w:t>5</w:t>
      </w:r>
    </w:p>
    <w:p w:rsidR="00087A7A" w:rsidRPr="00087A7A" w:rsidRDefault="00087A7A" w:rsidP="00C93840">
      <w:pPr>
        <w:numPr>
          <w:ilvl w:val="2"/>
          <w:numId w:val="35"/>
        </w:numPr>
        <w:tabs>
          <w:tab w:val="clear" w:pos="3398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87A7A">
        <w:rPr>
          <w:rFonts w:ascii="Arial" w:hAnsi="Arial" w:cs="Arial"/>
          <w:color w:val="000000"/>
        </w:rPr>
        <w:t>Pełny zakres informacji o charakterze ilościowym i jakościowym dotyczący adekwatn</w:t>
      </w:r>
      <w:r w:rsidRPr="00087A7A">
        <w:rPr>
          <w:rFonts w:ascii="Arial" w:hAnsi="Arial" w:cs="Arial"/>
          <w:color w:val="000000"/>
        </w:rPr>
        <w:t>o</w:t>
      </w:r>
      <w:r w:rsidRPr="00087A7A">
        <w:rPr>
          <w:rFonts w:ascii="Arial" w:hAnsi="Arial" w:cs="Arial"/>
          <w:color w:val="000000"/>
        </w:rPr>
        <w:t>ści kapitałowej oraz informacji podlegających ogłaszaniu, Bank ujawnia z częstotliw</w:t>
      </w:r>
      <w:r w:rsidRPr="00087A7A">
        <w:rPr>
          <w:rFonts w:ascii="Arial" w:hAnsi="Arial" w:cs="Arial"/>
          <w:color w:val="000000"/>
        </w:rPr>
        <w:t>o</w:t>
      </w:r>
      <w:r w:rsidRPr="00087A7A">
        <w:rPr>
          <w:rFonts w:ascii="Arial" w:hAnsi="Arial" w:cs="Arial"/>
          <w:color w:val="000000"/>
        </w:rPr>
        <w:t>ścią roczną, w terminie publikacji zatwierdzonego przez Zebranie Przedstawicieli roc</w:t>
      </w:r>
      <w:r w:rsidRPr="00087A7A">
        <w:rPr>
          <w:rFonts w:ascii="Arial" w:hAnsi="Arial" w:cs="Arial"/>
          <w:color w:val="000000"/>
        </w:rPr>
        <w:t>z</w:t>
      </w:r>
      <w:r w:rsidRPr="00087A7A">
        <w:rPr>
          <w:rFonts w:ascii="Arial" w:hAnsi="Arial" w:cs="Arial"/>
          <w:color w:val="000000"/>
        </w:rPr>
        <w:t>nego sprawozdania finansowego Banku (tj. data wysłania sprawozdania finansowego do KRS).</w:t>
      </w:r>
    </w:p>
    <w:p w:rsidR="00087A7A" w:rsidRDefault="00087A7A" w:rsidP="00C93840">
      <w:pPr>
        <w:pStyle w:val="Akapitzlist"/>
        <w:numPr>
          <w:ilvl w:val="2"/>
          <w:numId w:val="35"/>
        </w:numPr>
        <w:tabs>
          <w:tab w:val="clear" w:pos="3398"/>
          <w:tab w:val="left" w:pos="709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Bank raz na pół roku ujawnia najważniejsze wskaźniki, o których mowa w art. 447 Rozporządzenia</w:t>
      </w:r>
      <w:r w:rsidR="006319B1">
        <w:rPr>
          <w:rFonts w:ascii="Arial" w:hAnsi="Arial" w:cs="Arial"/>
        </w:rPr>
        <w:t xml:space="preserve"> w terminie do 30 września</w:t>
      </w:r>
      <w:r w:rsidRPr="00087A7A">
        <w:rPr>
          <w:rFonts w:ascii="Arial" w:hAnsi="Arial" w:cs="Arial"/>
        </w:rPr>
        <w:t>.</w:t>
      </w:r>
    </w:p>
    <w:p w:rsidR="00C93840" w:rsidRPr="00087A7A" w:rsidRDefault="00C93840" w:rsidP="00C93840">
      <w:pPr>
        <w:pStyle w:val="Akapitzlist"/>
        <w:tabs>
          <w:tab w:val="left" w:pos="709"/>
        </w:tabs>
        <w:spacing w:after="0" w:line="240" w:lineRule="auto"/>
        <w:ind w:left="425"/>
        <w:jc w:val="both"/>
        <w:rPr>
          <w:rFonts w:ascii="Arial" w:hAnsi="Arial" w:cs="Arial"/>
        </w:rPr>
      </w:pPr>
    </w:p>
    <w:p w:rsidR="00087A7A" w:rsidRPr="00C93840" w:rsidRDefault="00C93840" w:rsidP="00C93840">
      <w:pPr>
        <w:pStyle w:val="Nagwek1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4" w:name="_Toc387057836"/>
      <w:bookmarkStart w:id="5" w:name="_Toc74135346"/>
      <w:r w:rsidRPr="00C93840">
        <w:rPr>
          <w:rFonts w:ascii="Arial" w:hAnsi="Arial" w:cs="Arial"/>
          <w:color w:val="000000" w:themeColor="text1"/>
          <w:sz w:val="22"/>
          <w:szCs w:val="22"/>
        </w:rPr>
        <w:t xml:space="preserve">IV. </w:t>
      </w:r>
      <w:r w:rsidR="00087A7A" w:rsidRPr="00C93840">
        <w:rPr>
          <w:rFonts w:ascii="Arial" w:hAnsi="Arial" w:cs="Arial"/>
          <w:color w:val="000000" w:themeColor="text1"/>
          <w:sz w:val="22"/>
          <w:szCs w:val="22"/>
        </w:rPr>
        <w:t>Formy i miejsce ogłaszania informacji</w:t>
      </w:r>
      <w:bookmarkEnd w:id="4"/>
      <w:bookmarkEnd w:id="5"/>
    </w:p>
    <w:p w:rsidR="00C93840" w:rsidRDefault="00C93840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7A7A" w:rsidRPr="00C93840" w:rsidRDefault="00087A7A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93840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C93840">
        <w:rPr>
          <w:rFonts w:ascii="Arial" w:hAnsi="Arial" w:cs="Arial"/>
          <w:bCs/>
          <w:color w:val="000000"/>
          <w:sz w:val="22"/>
          <w:szCs w:val="22"/>
        </w:rPr>
        <w:t>6</w:t>
      </w:r>
    </w:p>
    <w:p w:rsidR="00087A7A" w:rsidRDefault="00403361" w:rsidP="00C9384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 informacje o których mowa w § </w:t>
      </w:r>
      <w:r w:rsidR="00C9384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 ust.1 i 2 </w:t>
      </w:r>
      <w:r w:rsidR="00087A7A" w:rsidRPr="00087A7A">
        <w:rPr>
          <w:rFonts w:ascii="Arial" w:hAnsi="Arial" w:cs="Arial"/>
          <w:color w:val="000000"/>
        </w:rPr>
        <w:t>udostępnia Klientom w formie papier</w:t>
      </w:r>
      <w:r w:rsidR="00087A7A" w:rsidRPr="00087A7A">
        <w:rPr>
          <w:rFonts w:ascii="Arial" w:hAnsi="Arial" w:cs="Arial"/>
          <w:color w:val="000000"/>
        </w:rPr>
        <w:t>o</w:t>
      </w:r>
      <w:r w:rsidR="00087A7A" w:rsidRPr="00087A7A">
        <w:rPr>
          <w:rFonts w:ascii="Arial" w:hAnsi="Arial" w:cs="Arial"/>
          <w:color w:val="000000"/>
        </w:rPr>
        <w:t xml:space="preserve">wej w Centrali Orzesko-Knurowskiego Banku Spółdzielczego z siedzibą w Knurowie, ul. </w:t>
      </w:r>
      <w:r w:rsidR="006319B1">
        <w:rPr>
          <w:rFonts w:ascii="Arial" w:hAnsi="Arial" w:cs="Arial"/>
          <w:color w:val="000000"/>
        </w:rPr>
        <w:t>Szpitalna 8</w:t>
      </w:r>
      <w:r w:rsidR="00087A7A" w:rsidRPr="00087A7A">
        <w:rPr>
          <w:rFonts w:ascii="Arial" w:hAnsi="Arial" w:cs="Arial"/>
          <w:color w:val="000000"/>
        </w:rPr>
        <w:t xml:space="preserve"> A w sekretariacie w każdy poniedziałek w godzinach od 10</w:t>
      </w:r>
      <w:r w:rsidR="00087A7A" w:rsidRPr="00087A7A">
        <w:rPr>
          <w:rFonts w:ascii="Arial" w:hAnsi="Arial" w:cs="Arial"/>
          <w:color w:val="000000"/>
          <w:vertAlign w:val="superscript"/>
        </w:rPr>
        <w:t>00</w:t>
      </w:r>
      <w:r w:rsidR="00087A7A" w:rsidRPr="00087A7A">
        <w:rPr>
          <w:rFonts w:ascii="Arial" w:hAnsi="Arial" w:cs="Arial"/>
          <w:color w:val="000000"/>
        </w:rPr>
        <w:t xml:space="preserve"> do 11</w:t>
      </w:r>
      <w:r w:rsidR="00087A7A" w:rsidRPr="00087A7A">
        <w:rPr>
          <w:rFonts w:ascii="Arial" w:hAnsi="Arial" w:cs="Arial"/>
          <w:color w:val="000000"/>
          <w:vertAlign w:val="superscript"/>
        </w:rPr>
        <w:t>00</w:t>
      </w:r>
      <w:r w:rsidR="00087A7A" w:rsidRPr="00087A7A">
        <w:rPr>
          <w:rFonts w:ascii="Arial" w:hAnsi="Arial" w:cs="Arial"/>
          <w:color w:val="000000"/>
        </w:rPr>
        <w:t xml:space="preserve"> oraz na stronie internetowej </w:t>
      </w:r>
      <w:hyperlink r:id="rId9" w:history="1">
        <w:r w:rsidR="006319B1" w:rsidRPr="000912EC">
          <w:rPr>
            <w:rStyle w:val="Hipercze"/>
            <w:rFonts w:ascii="Arial" w:hAnsi="Arial" w:cs="Arial"/>
          </w:rPr>
          <w:t>www.okbank.pl</w:t>
        </w:r>
      </w:hyperlink>
      <w:r w:rsidR="00087A7A" w:rsidRPr="00087A7A">
        <w:rPr>
          <w:rFonts w:ascii="Arial" w:hAnsi="Arial" w:cs="Arial"/>
          <w:color w:val="000000"/>
        </w:rPr>
        <w:t>.</w:t>
      </w:r>
    </w:p>
    <w:p w:rsidR="006319B1" w:rsidRPr="001B3EFF" w:rsidRDefault="006319B1" w:rsidP="00C93840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B3EFF">
        <w:rPr>
          <w:rFonts w:ascii="Arial" w:hAnsi="Arial" w:cs="Arial"/>
        </w:rPr>
        <w:t xml:space="preserve">Bank ujawnia informacje wymienione w ust. 1 w formacie zgodnym z art. 434a Rozporządzenia – tzn. w jednolitym formacie ujawniania informacji, zgodnym </w:t>
      </w:r>
      <w:r w:rsidRPr="001B3EFF">
        <w:rPr>
          <w:rFonts w:ascii="Arial" w:hAnsi="Arial" w:cs="Arial"/>
        </w:rPr>
        <w:br/>
        <w:t>z przepisami Rozporządzenia wykonawczego Komisji (UE) nr  2021/637 z 15 marca 2021r.</w:t>
      </w:r>
    </w:p>
    <w:p w:rsidR="00087A7A" w:rsidRPr="00087A7A" w:rsidRDefault="00087A7A" w:rsidP="00C93840">
      <w:pPr>
        <w:numPr>
          <w:ilvl w:val="0"/>
          <w:numId w:val="34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87A7A">
        <w:rPr>
          <w:rFonts w:ascii="Arial" w:hAnsi="Arial" w:cs="Arial"/>
          <w:color w:val="000000"/>
        </w:rPr>
        <w:t>Informacja publikowana jest w języku polskim.</w:t>
      </w:r>
    </w:p>
    <w:p w:rsidR="00087A7A" w:rsidRPr="00087A7A" w:rsidRDefault="00087A7A" w:rsidP="00C93840">
      <w:pPr>
        <w:numPr>
          <w:ilvl w:val="0"/>
          <w:numId w:val="34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087A7A">
        <w:rPr>
          <w:rFonts w:ascii="Arial" w:hAnsi="Arial" w:cs="Arial"/>
        </w:rPr>
        <w:t>Wszystkie dane ilościowe prezentowane są w tysiącach złotych bez miejsc po przeci</w:t>
      </w:r>
      <w:r w:rsidRPr="00087A7A">
        <w:rPr>
          <w:rFonts w:ascii="Arial" w:hAnsi="Arial" w:cs="Arial"/>
        </w:rPr>
        <w:t>n</w:t>
      </w:r>
      <w:r w:rsidRPr="00087A7A">
        <w:rPr>
          <w:rFonts w:ascii="Arial" w:hAnsi="Arial" w:cs="Arial"/>
        </w:rPr>
        <w:t>ku.</w:t>
      </w:r>
    </w:p>
    <w:p w:rsidR="00087A7A" w:rsidRDefault="00087A7A" w:rsidP="00C93840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Polityka informacyjna Orzesko-Knurowskiego Banku Spółdzielczego z siedzibą w Kn</w:t>
      </w:r>
      <w:r w:rsidRPr="00087A7A">
        <w:rPr>
          <w:rFonts w:ascii="Arial" w:hAnsi="Arial" w:cs="Arial"/>
        </w:rPr>
        <w:t>u</w:t>
      </w:r>
      <w:r w:rsidRPr="00087A7A">
        <w:rPr>
          <w:rFonts w:ascii="Arial" w:hAnsi="Arial" w:cs="Arial"/>
        </w:rPr>
        <w:t xml:space="preserve">rowie dotycząca ryzyka, adekwatności kapitałowej, informacji podlegających ogłaszaniu zgodnie z Rekomendacją P i M oraz </w:t>
      </w:r>
      <w:r w:rsidRPr="00087A7A">
        <w:rPr>
          <w:rFonts w:ascii="Arial" w:hAnsi="Arial" w:cs="Arial"/>
          <w:bCs/>
        </w:rPr>
        <w:t>Wytycznymi dotyczącymi ujawnienia w zakresie ekspozycji nieobsługiwanych i restrukturyzowanych ( EBA/GL/2018/10)</w:t>
      </w:r>
      <w:r w:rsidRPr="00087A7A">
        <w:rPr>
          <w:rFonts w:ascii="Arial" w:hAnsi="Arial" w:cs="Arial"/>
        </w:rPr>
        <w:t xml:space="preserve"> publikowana jest stronie internetowej </w:t>
      </w:r>
      <w:hyperlink r:id="rId10" w:history="1">
        <w:r w:rsidRPr="00087A7A">
          <w:rPr>
            <w:rStyle w:val="Hipercze"/>
            <w:rFonts w:ascii="Arial" w:hAnsi="Arial" w:cs="Arial"/>
          </w:rPr>
          <w:t>www.okbank.pl</w:t>
        </w:r>
      </w:hyperlink>
      <w:r w:rsidRPr="00087A7A">
        <w:rPr>
          <w:rFonts w:ascii="Arial" w:hAnsi="Arial" w:cs="Arial"/>
        </w:rPr>
        <w:t>. oraz udostępniana do wglądu Klientom w fo</w:t>
      </w:r>
      <w:r w:rsidRPr="00087A7A">
        <w:rPr>
          <w:rFonts w:ascii="Arial" w:hAnsi="Arial" w:cs="Arial"/>
        </w:rPr>
        <w:t>r</w:t>
      </w:r>
      <w:r w:rsidRPr="00087A7A">
        <w:rPr>
          <w:rFonts w:ascii="Arial" w:hAnsi="Arial" w:cs="Arial"/>
        </w:rPr>
        <w:t xml:space="preserve">mie papierowej w  Centrali Banku w Knurowie,  ul. </w:t>
      </w:r>
      <w:r w:rsidR="006319B1">
        <w:rPr>
          <w:rFonts w:ascii="Arial" w:hAnsi="Arial" w:cs="Arial"/>
        </w:rPr>
        <w:t>Szpitalna 8</w:t>
      </w:r>
      <w:r w:rsidRPr="00087A7A">
        <w:rPr>
          <w:rFonts w:ascii="Arial" w:hAnsi="Arial" w:cs="Arial"/>
        </w:rPr>
        <w:t>A w Sekretariacie w ka</w:t>
      </w:r>
      <w:r w:rsidRPr="00087A7A">
        <w:rPr>
          <w:rFonts w:ascii="Arial" w:hAnsi="Arial" w:cs="Arial"/>
        </w:rPr>
        <w:t>ż</w:t>
      </w:r>
      <w:r w:rsidRPr="00087A7A">
        <w:rPr>
          <w:rFonts w:ascii="Arial" w:hAnsi="Arial" w:cs="Arial"/>
        </w:rPr>
        <w:t>dy poniedziałek  w godzinach od 10</w:t>
      </w:r>
      <w:r w:rsidRPr="00087A7A">
        <w:rPr>
          <w:rFonts w:ascii="Arial" w:hAnsi="Arial" w:cs="Arial"/>
          <w:vertAlign w:val="superscript"/>
        </w:rPr>
        <w:t>00</w:t>
      </w:r>
      <w:r w:rsidR="00985CCD">
        <w:rPr>
          <w:rFonts w:ascii="Arial" w:hAnsi="Arial" w:cs="Arial"/>
          <w:vertAlign w:val="superscript"/>
        </w:rPr>
        <w:t xml:space="preserve"> </w:t>
      </w:r>
      <w:r w:rsidRPr="00087A7A">
        <w:rPr>
          <w:rFonts w:ascii="Arial" w:hAnsi="Arial" w:cs="Arial"/>
        </w:rPr>
        <w:t>do 11</w:t>
      </w:r>
      <w:r w:rsidRPr="00087A7A">
        <w:rPr>
          <w:rFonts w:ascii="Arial" w:hAnsi="Arial" w:cs="Arial"/>
          <w:vertAlign w:val="superscript"/>
        </w:rPr>
        <w:t>00</w:t>
      </w:r>
      <w:r w:rsidRPr="00087A7A">
        <w:rPr>
          <w:rFonts w:ascii="Arial" w:hAnsi="Arial" w:cs="Arial"/>
        </w:rPr>
        <w:t>.</w:t>
      </w:r>
    </w:p>
    <w:p w:rsidR="00C93840" w:rsidRPr="00087A7A" w:rsidRDefault="00C93840" w:rsidP="00C93840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87A7A" w:rsidRPr="00C93840" w:rsidRDefault="00C93840" w:rsidP="00C93840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6" w:name="_Toc387057837"/>
      <w:bookmarkStart w:id="7" w:name="_Toc74135347"/>
      <w:r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  <w:r w:rsidR="00087A7A" w:rsidRPr="00C93840">
        <w:rPr>
          <w:rFonts w:ascii="Arial" w:hAnsi="Arial" w:cs="Arial"/>
          <w:color w:val="000000" w:themeColor="text1"/>
          <w:sz w:val="22"/>
          <w:szCs w:val="22"/>
        </w:rPr>
        <w:t>Zasady zatwierdzania i weryfikacji ogłaszanych informacji</w:t>
      </w:r>
      <w:bookmarkEnd w:id="6"/>
      <w:bookmarkEnd w:id="7"/>
    </w:p>
    <w:p w:rsidR="00C93840" w:rsidRDefault="00C93840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:rsidR="00087A7A" w:rsidRPr="00C93840" w:rsidRDefault="00087A7A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Cs/>
          <w:sz w:val="22"/>
          <w:szCs w:val="22"/>
        </w:rPr>
      </w:pPr>
      <w:r w:rsidRPr="00C93840">
        <w:rPr>
          <w:rFonts w:ascii="Arial" w:hAnsi="Arial" w:cs="Arial"/>
          <w:bCs/>
          <w:sz w:val="22"/>
          <w:szCs w:val="22"/>
        </w:rPr>
        <w:t xml:space="preserve">§ </w:t>
      </w:r>
      <w:r w:rsidR="00C93840" w:rsidRPr="00C93840">
        <w:rPr>
          <w:rFonts w:ascii="Arial" w:hAnsi="Arial" w:cs="Arial"/>
          <w:bCs/>
          <w:sz w:val="22"/>
          <w:szCs w:val="22"/>
        </w:rPr>
        <w:t>7</w:t>
      </w:r>
    </w:p>
    <w:p w:rsidR="00087A7A" w:rsidRPr="00087A7A" w:rsidRDefault="00087A7A" w:rsidP="00C93840">
      <w:pPr>
        <w:numPr>
          <w:ilvl w:val="1"/>
          <w:numId w:val="37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 xml:space="preserve">Informacje o których mowa w </w:t>
      </w:r>
      <w:r w:rsidRPr="00087A7A">
        <w:rPr>
          <w:rFonts w:ascii="Arial" w:hAnsi="Arial" w:cs="Arial"/>
          <w:bCs/>
        </w:rPr>
        <w:t>§ 5 ust. 1</w:t>
      </w:r>
      <w:r w:rsidR="00C93840">
        <w:rPr>
          <w:rFonts w:ascii="Arial" w:hAnsi="Arial" w:cs="Arial"/>
          <w:bCs/>
        </w:rPr>
        <w:t xml:space="preserve"> i 2</w:t>
      </w:r>
      <w:r w:rsidRPr="00087A7A">
        <w:rPr>
          <w:rFonts w:ascii="Arial" w:hAnsi="Arial" w:cs="Arial"/>
          <w:bCs/>
        </w:rPr>
        <w:t xml:space="preserve"> </w:t>
      </w:r>
      <w:r w:rsidRPr="00087A7A">
        <w:rPr>
          <w:rFonts w:ascii="Arial" w:hAnsi="Arial" w:cs="Arial"/>
        </w:rPr>
        <w:t>przed  podaniem do publicznej wiadomości zatwierdzane są przez Zarząd Banku.</w:t>
      </w:r>
    </w:p>
    <w:p w:rsidR="00087A7A" w:rsidRPr="00087A7A" w:rsidRDefault="00087A7A" w:rsidP="00C93840">
      <w:pPr>
        <w:numPr>
          <w:ilvl w:val="1"/>
          <w:numId w:val="37"/>
        </w:numPr>
        <w:tabs>
          <w:tab w:val="clear" w:pos="360"/>
          <w:tab w:val="num" w:pos="426"/>
        </w:tabs>
        <w:suppressAutoHyphens w:val="0"/>
        <w:spacing w:after="0" w:line="240" w:lineRule="auto"/>
        <w:ind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Informacje pochodzące ze sprawozdania finansowego podlegają procedurze weryfik</w:t>
      </w:r>
      <w:r w:rsidRPr="00087A7A">
        <w:rPr>
          <w:rFonts w:ascii="Arial" w:hAnsi="Arial" w:cs="Arial"/>
        </w:rPr>
        <w:t>a</w:t>
      </w:r>
      <w:r w:rsidRPr="00087A7A">
        <w:rPr>
          <w:rFonts w:ascii="Arial" w:hAnsi="Arial" w:cs="Arial"/>
        </w:rPr>
        <w:t>cyjnej podczas badania sprawozdania finansowego przez biegłego rewidenta.</w:t>
      </w:r>
    </w:p>
    <w:p w:rsidR="00087A7A" w:rsidRDefault="00087A7A" w:rsidP="00C93840">
      <w:pPr>
        <w:numPr>
          <w:ilvl w:val="1"/>
          <w:numId w:val="37"/>
        </w:numPr>
        <w:tabs>
          <w:tab w:val="clear" w:pos="360"/>
          <w:tab w:val="num" w:pos="426"/>
        </w:tabs>
        <w:suppressAutoHyphens w:val="0"/>
        <w:spacing w:after="0" w:line="240" w:lineRule="auto"/>
        <w:ind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Informacje, które nie są objęte badaniem sprawozdania finansowego przez biegłego rewidenta, podlegają weryfikacji zgodnie z systemem kontroli wewnętrznej obowiązuj</w:t>
      </w:r>
      <w:r w:rsidRPr="00087A7A">
        <w:rPr>
          <w:rFonts w:ascii="Arial" w:hAnsi="Arial" w:cs="Arial"/>
        </w:rPr>
        <w:t>ą</w:t>
      </w:r>
      <w:r w:rsidRPr="00087A7A">
        <w:rPr>
          <w:rFonts w:ascii="Arial" w:hAnsi="Arial" w:cs="Arial"/>
        </w:rPr>
        <w:t xml:space="preserve">cym w Banku. </w:t>
      </w:r>
    </w:p>
    <w:p w:rsidR="00C93840" w:rsidRPr="00087A7A" w:rsidRDefault="00C93840" w:rsidP="00C93840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87A7A" w:rsidRPr="00C93840" w:rsidRDefault="00C93840" w:rsidP="00C93840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8" w:name="_Toc387057838"/>
      <w:bookmarkStart w:id="9" w:name="_Toc74135348"/>
      <w:r>
        <w:rPr>
          <w:rFonts w:ascii="Arial" w:hAnsi="Arial" w:cs="Arial"/>
          <w:color w:val="000000" w:themeColor="text1"/>
          <w:sz w:val="22"/>
          <w:szCs w:val="22"/>
        </w:rPr>
        <w:t xml:space="preserve">VI. </w:t>
      </w:r>
      <w:r w:rsidR="00087A7A" w:rsidRPr="00C93840">
        <w:rPr>
          <w:rFonts w:ascii="Arial" w:hAnsi="Arial" w:cs="Arial"/>
          <w:color w:val="000000" w:themeColor="text1"/>
          <w:sz w:val="22"/>
          <w:szCs w:val="22"/>
        </w:rPr>
        <w:t>Zasady weryfikacji Polityki</w:t>
      </w:r>
      <w:bookmarkEnd w:id="8"/>
      <w:bookmarkEnd w:id="9"/>
    </w:p>
    <w:p w:rsidR="00C93840" w:rsidRPr="00087A7A" w:rsidRDefault="00C93840" w:rsidP="00C93840">
      <w:pPr>
        <w:spacing w:after="0" w:line="240" w:lineRule="auto"/>
        <w:ind w:left="357"/>
        <w:jc w:val="center"/>
        <w:outlineLvl w:val="0"/>
        <w:rPr>
          <w:rFonts w:ascii="Arial" w:hAnsi="Arial" w:cs="Arial"/>
          <w:b/>
        </w:rPr>
      </w:pPr>
    </w:p>
    <w:p w:rsidR="00087A7A" w:rsidRPr="00C93840" w:rsidRDefault="00087A7A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Cs/>
          <w:sz w:val="22"/>
          <w:szCs w:val="22"/>
        </w:rPr>
      </w:pPr>
      <w:r w:rsidRPr="00C93840">
        <w:rPr>
          <w:rFonts w:ascii="Arial" w:hAnsi="Arial" w:cs="Arial"/>
          <w:bCs/>
          <w:sz w:val="22"/>
          <w:szCs w:val="22"/>
        </w:rPr>
        <w:t xml:space="preserve">§ </w:t>
      </w:r>
      <w:r w:rsidR="00C93840">
        <w:rPr>
          <w:rFonts w:ascii="Arial" w:hAnsi="Arial" w:cs="Arial"/>
          <w:bCs/>
          <w:sz w:val="22"/>
          <w:szCs w:val="22"/>
        </w:rPr>
        <w:t>8</w:t>
      </w:r>
    </w:p>
    <w:p w:rsidR="00087A7A" w:rsidRPr="00087A7A" w:rsidRDefault="00087A7A" w:rsidP="00C93840">
      <w:pPr>
        <w:numPr>
          <w:ilvl w:val="0"/>
          <w:numId w:val="36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Polityka podlega rocznej weryfikacji w terminie do dnia 3</w:t>
      </w:r>
      <w:r w:rsidR="006319B1">
        <w:rPr>
          <w:rFonts w:ascii="Arial" w:hAnsi="Arial" w:cs="Arial"/>
        </w:rPr>
        <w:t xml:space="preserve">1 grudnia </w:t>
      </w:r>
      <w:r w:rsidRPr="00087A7A">
        <w:rPr>
          <w:rFonts w:ascii="Arial" w:hAnsi="Arial" w:cs="Arial"/>
        </w:rPr>
        <w:t>każdego roku.</w:t>
      </w:r>
    </w:p>
    <w:p w:rsidR="00087A7A" w:rsidRPr="00087A7A" w:rsidRDefault="00087A7A" w:rsidP="00C93840">
      <w:pPr>
        <w:numPr>
          <w:ilvl w:val="0"/>
          <w:numId w:val="36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Weryfikacji podlega w szczególności częstotliwość publikowania informacji, miejsce ich ogłaszania oraz zakres informacji podlegających ujawnieniom.</w:t>
      </w:r>
    </w:p>
    <w:p w:rsidR="00087A7A" w:rsidRPr="00087A7A" w:rsidRDefault="00087A7A" w:rsidP="00C93840">
      <w:pPr>
        <w:numPr>
          <w:ilvl w:val="0"/>
          <w:numId w:val="36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Zakres ujawnianych informacji może ulec zmianie w przypadku:</w:t>
      </w:r>
    </w:p>
    <w:p w:rsidR="00087A7A" w:rsidRPr="00087A7A" w:rsidRDefault="00087A7A" w:rsidP="00C93840">
      <w:pPr>
        <w:numPr>
          <w:ilvl w:val="0"/>
          <w:numId w:val="38"/>
        </w:numPr>
        <w:tabs>
          <w:tab w:val="clear" w:pos="1069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zmiany strategii Banku;</w:t>
      </w:r>
    </w:p>
    <w:p w:rsidR="00087A7A" w:rsidRPr="00087A7A" w:rsidRDefault="00087A7A" w:rsidP="00C93840">
      <w:pPr>
        <w:numPr>
          <w:ilvl w:val="0"/>
          <w:numId w:val="38"/>
        </w:numPr>
        <w:tabs>
          <w:tab w:val="clear" w:pos="1069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zmiany profilu ryzyka;</w:t>
      </w:r>
    </w:p>
    <w:p w:rsidR="00087A7A" w:rsidRPr="00087A7A" w:rsidRDefault="00087A7A" w:rsidP="00C93840">
      <w:pPr>
        <w:numPr>
          <w:ilvl w:val="0"/>
          <w:numId w:val="38"/>
        </w:numPr>
        <w:tabs>
          <w:tab w:val="clear" w:pos="1069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zmiany metod wyliczania wymogów kapitałowych;</w:t>
      </w:r>
    </w:p>
    <w:p w:rsidR="00087A7A" w:rsidRPr="00087A7A" w:rsidRDefault="00087A7A" w:rsidP="00C93840">
      <w:pPr>
        <w:numPr>
          <w:ilvl w:val="0"/>
          <w:numId w:val="38"/>
        </w:numPr>
        <w:tabs>
          <w:tab w:val="clear" w:pos="1069"/>
          <w:tab w:val="num" w:pos="851"/>
        </w:tabs>
        <w:suppressAutoHyphens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zmiany Rozporządzenia lub innych przepisów regulacyjnych w zakresie zarządz</w:t>
      </w:r>
      <w:r w:rsidRPr="00087A7A">
        <w:rPr>
          <w:rFonts w:ascii="Arial" w:hAnsi="Arial" w:cs="Arial"/>
        </w:rPr>
        <w:t>a</w:t>
      </w:r>
      <w:r w:rsidRPr="00087A7A">
        <w:rPr>
          <w:rFonts w:ascii="Arial" w:hAnsi="Arial" w:cs="Arial"/>
        </w:rPr>
        <w:t>nia ryzykiem i polityki wynagrodzeń.</w:t>
      </w:r>
    </w:p>
    <w:p w:rsidR="00087A7A" w:rsidRPr="00087A7A" w:rsidRDefault="00087A7A" w:rsidP="00C9384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 xml:space="preserve">Zasady polityki informacyjnej podlegają weryfikacji przez  </w:t>
      </w:r>
      <w:r w:rsidR="006319B1">
        <w:rPr>
          <w:rFonts w:ascii="Arial" w:hAnsi="Arial" w:cs="Arial"/>
        </w:rPr>
        <w:t xml:space="preserve">Zespół ds. </w:t>
      </w:r>
      <w:proofErr w:type="spellStart"/>
      <w:r w:rsidR="00C93840">
        <w:rPr>
          <w:rFonts w:ascii="Arial" w:hAnsi="Arial" w:cs="Arial"/>
        </w:rPr>
        <w:t>R</w:t>
      </w:r>
      <w:r w:rsidR="006319B1">
        <w:rPr>
          <w:rFonts w:ascii="Arial" w:hAnsi="Arial" w:cs="Arial"/>
        </w:rPr>
        <w:t>yzyk</w:t>
      </w:r>
      <w:proofErr w:type="spellEnd"/>
      <w:r w:rsidRPr="00087A7A">
        <w:rPr>
          <w:rFonts w:ascii="Arial" w:hAnsi="Arial" w:cs="Arial"/>
        </w:rPr>
        <w:t>.</w:t>
      </w:r>
    </w:p>
    <w:p w:rsidR="00087A7A" w:rsidRPr="00087A7A" w:rsidRDefault="00087A7A" w:rsidP="00C9384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 xml:space="preserve">Wyniki weryfikacji podlegają zaopiniowaniu przez Komitet Zarządzania Ryzykiem na wniosek </w:t>
      </w:r>
      <w:r w:rsidR="006319B1">
        <w:rPr>
          <w:rFonts w:ascii="Arial" w:hAnsi="Arial" w:cs="Arial"/>
        </w:rPr>
        <w:t xml:space="preserve">Zespołu ds. </w:t>
      </w:r>
      <w:proofErr w:type="spellStart"/>
      <w:r w:rsidR="00C93840">
        <w:rPr>
          <w:rFonts w:ascii="Arial" w:hAnsi="Arial" w:cs="Arial"/>
        </w:rPr>
        <w:t>R</w:t>
      </w:r>
      <w:r w:rsidR="006319B1">
        <w:rPr>
          <w:rFonts w:ascii="Arial" w:hAnsi="Arial" w:cs="Arial"/>
        </w:rPr>
        <w:t>yzyk</w:t>
      </w:r>
      <w:proofErr w:type="spellEnd"/>
      <w:r w:rsidRPr="00087A7A">
        <w:rPr>
          <w:rFonts w:ascii="Arial" w:hAnsi="Arial" w:cs="Arial"/>
        </w:rPr>
        <w:t xml:space="preserve">.  </w:t>
      </w:r>
    </w:p>
    <w:p w:rsidR="00087A7A" w:rsidRDefault="00087A7A" w:rsidP="00C93840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Wyniki weryfikacji zostają przedstawione Zarządowi przez Komitet Zarzadzania Ryz</w:t>
      </w:r>
      <w:r w:rsidRPr="00087A7A">
        <w:rPr>
          <w:rFonts w:ascii="Arial" w:hAnsi="Arial" w:cs="Arial"/>
        </w:rPr>
        <w:t>y</w:t>
      </w:r>
      <w:r w:rsidRPr="00087A7A">
        <w:rPr>
          <w:rFonts w:ascii="Arial" w:hAnsi="Arial" w:cs="Arial"/>
        </w:rPr>
        <w:t>kiem, a następnie Zarząd przedstawia do zaakceptowania Radzie Nadzorczej na na</w:t>
      </w:r>
      <w:r w:rsidRPr="00087A7A">
        <w:rPr>
          <w:rFonts w:ascii="Arial" w:hAnsi="Arial" w:cs="Arial"/>
        </w:rPr>
        <w:t>j</w:t>
      </w:r>
      <w:r w:rsidRPr="00087A7A">
        <w:rPr>
          <w:rFonts w:ascii="Arial" w:hAnsi="Arial" w:cs="Arial"/>
        </w:rPr>
        <w:t>bliższym posiedzeniu.</w:t>
      </w:r>
    </w:p>
    <w:p w:rsidR="00C93840" w:rsidRPr="00087A7A" w:rsidRDefault="00C93840" w:rsidP="00C93840">
      <w:p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87A7A" w:rsidRPr="00C93840" w:rsidRDefault="00C93840" w:rsidP="00C93840">
      <w:pPr>
        <w:pStyle w:val="Nagwek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387057839"/>
      <w:bookmarkStart w:id="11" w:name="_Toc74135349"/>
      <w:r>
        <w:rPr>
          <w:rFonts w:ascii="Arial" w:hAnsi="Arial" w:cs="Arial"/>
          <w:color w:val="000000" w:themeColor="text1"/>
          <w:sz w:val="24"/>
          <w:szCs w:val="24"/>
        </w:rPr>
        <w:t>VII</w:t>
      </w:r>
      <w:r w:rsidR="00087A7A" w:rsidRPr="00C93840">
        <w:rPr>
          <w:rFonts w:ascii="Arial" w:hAnsi="Arial" w:cs="Arial"/>
          <w:color w:val="000000" w:themeColor="text1"/>
          <w:sz w:val="24"/>
          <w:szCs w:val="24"/>
        </w:rPr>
        <w:t>. Przepisy końcowe i przejściowe</w:t>
      </w:r>
      <w:bookmarkEnd w:id="10"/>
      <w:bookmarkEnd w:id="11"/>
    </w:p>
    <w:p w:rsidR="00C93840" w:rsidRDefault="00C93840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:rsidR="00087A7A" w:rsidRPr="00C93840" w:rsidRDefault="00087A7A" w:rsidP="00C93840">
      <w:pPr>
        <w:pStyle w:val="Tekstpodstawowywcity3"/>
        <w:spacing w:after="0" w:line="240" w:lineRule="auto"/>
        <w:ind w:left="357"/>
        <w:jc w:val="center"/>
        <w:rPr>
          <w:rFonts w:ascii="Arial" w:hAnsi="Arial" w:cs="Arial"/>
          <w:bCs/>
          <w:sz w:val="22"/>
          <w:szCs w:val="22"/>
        </w:rPr>
      </w:pPr>
      <w:r w:rsidRPr="00C93840">
        <w:rPr>
          <w:rFonts w:ascii="Arial" w:hAnsi="Arial" w:cs="Arial"/>
          <w:bCs/>
          <w:sz w:val="22"/>
          <w:szCs w:val="22"/>
        </w:rPr>
        <w:t xml:space="preserve">§ </w:t>
      </w:r>
      <w:r w:rsidR="00C93840">
        <w:rPr>
          <w:rFonts w:ascii="Arial" w:hAnsi="Arial" w:cs="Arial"/>
          <w:bCs/>
          <w:sz w:val="22"/>
          <w:szCs w:val="22"/>
        </w:rPr>
        <w:t>9</w:t>
      </w:r>
    </w:p>
    <w:p w:rsidR="00087A7A" w:rsidRPr="00087A7A" w:rsidRDefault="00087A7A" w:rsidP="00C93840">
      <w:pPr>
        <w:numPr>
          <w:ilvl w:val="0"/>
          <w:numId w:val="39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Przepisy zawarte w niniejszym dokumencie obowiązują w stosunku do informacji uja</w:t>
      </w:r>
      <w:r w:rsidRPr="00087A7A">
        <w:rPr>
          <w:rFonts w:ascii="Arial" w:hAnsi="Arial" w:cs="Arial"/>
        </w:rPr>
        <w:t>w</w:t>
      </w:r>
      <w:r w:rsidRPr="00087A7A">
        <w:rPr>
          <w:rFonts w:ascii="Arial" w:hAnsi="Arial" w:cs="Arial"/>
        </w:rPr>
        <w:t>nianych za</w:t>
      </w:r>
      <w:r>
        <w:rPr>
          <w:rFonts w:ascii="Arial" w:hAnsi="Arial" w:cs="Arial"/>
        </w:rPr>
        <w:t xml:space="preserve"> I półrocze 2021r</w:t>
      </w:r>
      <w:r w:rsidRPr="00087A7A">
        <w:rPr>
          <w:rFonts w:ascii="Arial" w:hAnsi="Arial" w:cs="Arial"/>
        </w:rPr>
        <w:t xml:space="preserve"> i w latach kolejnych.</w:t>
      </w:r>
    </w:p>
    <w:p w:rsidR="00087A7A" w:rsidRDefault="00087A7A" w:rsidP="00C93840">
      <w:pPr>
        <w:numPr>
          <w:ilvl w:val="0"/>
          <w:numId w:val="39"/>
        </w:numPr>
        <w:tabs>
          <w:tab w:val="clear" w:pos="36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Tekst jednolity oraz wszystkie zmiany do niniejszego dokumentu, podlegają zatwie</w:t>
      </w:r>
      <w:r w:rsidRPr="00087A7A">
        <w:rPr>
          <w:rFonts w:ascii="Arial" w:hAnsi="Arial" w:cs="Arial"/>
        </w:rPr>
        <w:t>r</w:t>
      </w:r>
      <w:r w:rsidRPr="00087A7A">
        <w:rPr>
          <w:rFonts w:ascii="Arial" w:hAnsi="Arial" w:cs="Arial"/>
        </w:rPr>
        <w:t>dzeniu przez Zarząd i Radę Nadzorczą Banku.</w:t>
      </w:r>
    </w:p>
    <w:p w:rsidR="003465E4" w:rsidRDefault="003465E4" w:rsidP="003465E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3465E4" w:rsidRDefault="003465E4" w:rsidP="003465E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3465E4" w:rsidRDefault="003465E4" w:rsidP="003465E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3465E4" w:rsidRDefault="003465E4" w:rsidP="003465E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9"/>
      </w:tblGrid>
      <w:tr w:rsidR="003465E4" w:rsidRPr="003465E4" w:rsidTr="003465E4">
        <w:trPr>
          <w:jc w:val="center"/>
        </w:trPr>
        <w:tc>
          <w:tcPr>
            <w:tcW w:w="4957" w:type="dxa"/>
          </w:tcPr>
          <w:p w:rsidR="003465E4" w:rsidRPr="003465E4" w:rsidRDefault="003465E4" w:rsidP="003465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E4">
              <w:rPr>
                <w:rFonts w:ascii="Arial" w:hAnsi="Arial" w:cs="Arial"/>
                <w:sz w:val="20"/>
                <w:szCs w:val="20"/>
              </w:rPr>
              <w:t>Zarząd</w:t>
            </w:r>
          </w:p>
          <w:p w:rsidR="003465E4" w:rsidRPr="003465E4" w:rsidRDefault="003465E4" w:rsidP="003465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E4">
              <w:rPr>
                <w:rFonts w:ascii="Arial" w:hAnsi="Arial" w:cs="Arial"/>
                <w:sz w:val="20"/>
                <w:szCs w:val="20"/>
              </w:rPr>
              <w:t>Orzesko-Knurowskiego</w:t>
            </w:r>
          </w:p>
          <w:p w:rsidR="003465E4" w:rsidRPr="003465E4" w:rsidRDefault="003465E4" w:rsidP="003465E4">
            <w:pPr>
              <w:tabs>
                <w:tab w:val="num" w:pos="0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E4">
              <w:rPr>
                <w:rFonts w:ascii="Arial" w:hAnsi="Arial" w:cs="Arial"/>
                <w:sz w:val="20"/>
                <w:szCs w:val="20"/>
              </w:rPr>
              <w:t>Banku Spółdzielczego z siedzibą w Knurowie</w:t>
            </w:r>
          </w:p>
        </w:tc>
        <w:tc>
          <w:tcPr>
            <w:tcW w:w="4399" w:type="dxa"/>
          </w:tcPr>
          <w:p w:rsidR="003465E4" w:rsidRPr="003465E4" w:rsidRDefault="003465E4" w:rsidP="003465E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E4">
              <w:rPr>
                <w:rFonts w:ascii="Arial" w:hAnsi="Arial" w:cs="Arial"/>
                <w:sz w:val="20"/>
                <w:szCs w:val="20"/>
              </w:rPr>
              <w:t>Rada Nadzorcza</w:t>
            </w:r>
          </w:p>
          <w:p w:rsidR="003465E4" w:rsidRPr="003465E4" w:rsidRDefault="003465E4" w:rsidP="003465E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E4">
              <w:rPr>
                <w:rFonts w:ascii="Arial" w:hAnsi="Arial" w:cs="Arial"/>
                <w:sz w:val="20"/>
                <w:szCs w:val="20"/>
              </w:rPr>
              <w:t>Orzesko-Knurowskiego</w:t>
            </w:r>
          </w:p>
          <w:p w:rsidR="003465E4" w:rsidRPr="003465E4" w:rsidRDefault="003465E4" w:rsidP="003465E4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5E4">
              <w:rPr>
                <w:rFonts w:ascii="Arial" w:hAnsi="Arial" w:cs="Arial"/>
                <w:sz w:val="20"/>
                <w:szCs w:val="20"/>
              </w:rPr>
              <w:t>Banku Spółdzielczego z siedzibą w Knurowie</w:t>
            </w:r>
          </w:p>
        </w:tc>
      </w:tr>
    </w:tbl>
    <w:p w:rsidR="003465E4" w:rsidRPr="00087A7A" w:rsidRDefault="003465E4" w:rsidP="003465E4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:rsidR="00087A7A" w:rsidRP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3465E4" w:rsidRPr="00087A7A" w:rsidRDefault="00087A7A" w:rsidP="003465E4">
      <w:p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ab/>
      </w: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C9384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87A7A" w:rsidRDefault="00087A7A" w:rsidP="00087A7A">
      <w:p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15246F" w:rsidRDefault="0015246F" w:rsidP="00087A7A">
      <w:p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15246F" w:rsidRDefault="0015246F" w:rsidP="00087A7A">
      <w:p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087A7A" w:rsidRPr="00087A7A" w:rsidRDefault="00087A7A" w:rsidP="00087A7A">
      <w:pPr>
        <w:ind w:firstLine="360"/>
        <w:jc w:val="center"/>
        <w:rPr>
          <w:rFonts w:ascii="Arial" w:hAnsi="Arial" w:cs="Arial"/>
          <w:noProof/>
        </w:rPr>
      </w:pPr>
      <w:r w:rsidRPr="00087A7A">
        <w:rPr>
          <w:rFonts w:ascii="Arial" w:hAnsi="Arial" w:cs="Arial"/>
          <w:noProof/>
          <w:lang w:eastAsia="pl-PL"/>
        </w:rPr>
        <w:drawing>
          <wp:inline distT="0" distB="0" distL="0" distR="0" wp14:anchorId="52B47A7D" wp14:editId="1C40C6B6">
            <wp:extent cx="4907280" cy="5257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7A" w:rsidRPr="00087A7A" w:rsidRDefault="00087A7A" w:rsidP="003465E4">
      <w:pPr>
        <w:spacing w:after="0" w:line="240" w:lineRule="auto"/>
        <w:ind w:left="3544" w:firstLine="709"/>
        <w:jc w:val="right"/>
        <w:rPr>
          <w:rFonts w:ascii="Arial" w:hAnsi="Arial" w:cs="Arial"/>
          <w:i/>
        </w:rPr>
      </w:pPr>
      <w:r w:rsidRPr="00087A7A">
        <w:rPr>
          <w:rFonts w:ascii="Arial" w:hAnsi="Arial" w:cs="Arial"/>
          <w:i/>
        </w:rPr>
        <w:t>Załącznik 1</w:t>
      </w:r>
    </w:p>
    <w:p w:rsidR="00087A7A" w:rsidRPr="00087A7A" w:rsidRDefault="00087A7A" w:rsidP="003465E4">
      <w:pPr>
        <w:spacing w:after="0" w:line="240" w:lineRule="auto"/>
        <w:ind w:left="3544" w:firstLine="709"/>
        <w:jc w:val="right"/>
        <w:rPr>
          <w:rFonts w:ascii="Arial" w:hAnsi="Arial" w:cs="Arial"/>
          <w:i/>
        </w:rPr>
      </w:pPr>
      <w:r w:rsidRPr="00087A7A">
        <w:rPr>
          <w:rFonts w:ascii="Arial" w:hAnsi="Arial" w:cs="Arial"/>
          <w:i/>
        </w:rPr>
        <w:t xml:space="preserve">do Polityki Informacyjnej  </w:t>
      </w:r>
    </w:p>
    <w:p w:rsidR="00087A7A" w:rsidRPr="00087A7A" w:rsidRDefault="00087A7A" w:rsidP="00087A7A">
      <w:pPr>
        <w:rPr>
          <w:rFonts w:ascii="Arial" w:hAnsi="Arial" w:cs="Arial"/>
        </w:rPr>
      </w:pPr>
    </w:p>
    <w:p w:rsidR="00087A7A" w:rsidRPr="00087A7A" w:rsidRDefault="00087A7A" w:rsidP="00087A7A">
      <w:pPr>
        <w:pStyle w:val="Nagwek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12" w:name="_Toc74135350"/>
      <w:r w:rsidRPr="00087A7A">
        <w:rPr>
          <w:rFonts w:ascii="Arial" w:hAnsi="Arial" w:cs="Arial"/>
          <w:b/>
          <w:sz w:val="22"/>
          <w:szCs w:val="22"/>
        </w:rPr>
        <w:t>ZASADY DOSTĘPU DO POLITYKI INFORMACYJNEJ</w:t>
      </w:r>
      <w:bookmarkEnd w:id="12"/>
      <w:r w:rsidRPr="00087A7A">
        <w:rPr>
          <w:rFonts w:ascii="Arial" w:hAnsi="Arial" w:cs="Arial"/>
          <w:b/>
          <w:sz w:val="22"/>
          <w:szCs w:val="22"/>
        </w:rPr>
        <w:t xml:space="preserve"> </w:t>
      </w:r>
    </w:p>
    <w:p w:rsidR="00087A7A" w:rsidRPr="00087A7A" w:rsidRDefault="00087A7A" w:rsidP="00087A7A">
      <w:pPr>
        <w:pStyle w:val="Nagwek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13" w:name="_Toc74135351"/>
      <w:r w:rsidRPr="00087A7A">
        <w:rPr>
          <w:rFonts w:ascii="Arial" w:hAnsi="Arial" w:cs="Arial"/>
          <w:b/>
          <w:sz w:val="22"/>
          <w:szCs w:val="22"/>
        </w:rPr>
        <w:t>ORZESKO-KNUROWSKIEGO BANKU SPÓŁDZIELCZEGO</w:t>
      </w:r>
      <w:bookmarkEnd w:id="13"/>
      <w:r w:rsidRPr="00087A7A">
        <w:rPr>
          <w:rFonts w:ascii="Arial" w:hAnsi="Arial" w:cs="Arial"/>
          <w:b/>
          <w:sz w:val="22"/>
          <w:szCs w:val="22"/>
        </w:rPr>
        <w:t xml:space="preserve"> </w:t>
      </w:r>
    </w:p>
    <w:p w:rsidR="00087A7A" w:rsidRPr="00087A7A" w:rsidRDefault="00087A7A" w:rsidP="00087A7A">
      <w:pPr>
        <w:pStyle w:val="Nagwek3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14" w:name="_Toc74135352"/>
      <w:r w:rsidRPr="00087A7A">
        <w:rPr>
          <w:rFonts w:ascii="Arial" w:hAnsi="Arial" w:cs="Arial"/>
          <w:b/>
          <w:sz w:val="22"/>
          <w:szCs w:val="22"/>
        </w:rPr>
        <w:t>Z SIEDZIBĄ W KNUROWIE</w:t>
      </w:r>
      <w:bookmarkEnd w:id="14"/>
      <w:r w:rsidRPr="00087A7A">
        <w:rPr>
          <w:rFonts w:ascii="Arial" w:hAnsi="Arial" w:cs="Arial"/>
          <w:b/>
          <w:sz w:val="22"/>
          <w:szCs w:val="22"/>
        </w:rPr>
        <w:t xml:space="preserve"> </w:t>
      </w:r>
    </w:p>
    <w:p w:rsidR="00087A7A" w:rsidRPr="00087A7A" w:rsidRDefault="00087A7A" w:rsidP="00087A7A">
      <w:pPr>
        <w:spacing w:after="120"/>
        <w:ind w:left="567"/>
        <w:jc w:val="both"/>
        <w:rPr>
          <w:rFonts w:ascii="Arial" w:hAnsi="Arial" w:cs="Arial"/>
        </w:rPr>
      </w:pPr>
    </w:p>
    <w:p w:rsidR="00087A7A" w:rsidRPr="00403361" w:rsidRDefault="00087A7A" w:rsidP="0015246F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403361">
        <w:rPr>
          <w:rFonts w:ascii="Arial" w:hAnsi="Arial" w:cs="Arial"/>
        </w:rPr>
        <w:t xml:space="preserve">dotyczącej ryzyka, adekwatności kapitałowej, polityki w zakresie wynagrodzeń i innych informacji ujawnianych zgodnie z </w:t>
      </w:r>
      <w:r w:rsidR="00403361" w:rsidRPr="00403361">
        <w:rPr>
          <w:rFonts w:ascii="Arial" w:hAnsi="Arial" w:cs="Arial"/>
        </w:rPr>
        <w:t>Rozporządzenie Parlamentu Europejskiego i Rady (UE) 2019/876 z dnia 20 maja 2019 r.</w:t>
      </w:r>
      <w:r w:rsidRPr="00403361">
        <w:rPr>
          <w:rFonts w:ascii="Arial" w:hAnsi="Arial" w:cs="Arial"/>
        </w:rPr>
        <w:t>,  informacji podlegających ogłaszaniu zgodnie z Rekomendacją M i P oraz z</w:t>
      </w:r>
      <w:r w:rsidRPr="00403361">
        <w:rPr>
          <w:rFonts w:ascii="Arial" w:hAnsi="Arial" w:cs="Arial"/>
          <w:color w:val="000000"/>
        </w:rPr>
        <w:t xml:space="preserve"> </w:t>
      </w:r>
      <w:r w:rsidRPr="00403361">
        <w:rPr>
          <w:rFonts w:ascii="Arial" w:hAnsi="Arial" w:cs="Arial"/>
          <w:bCs/>
        </w:rPr>
        <w:t>Wytycznymi dotyczącymi ujawnienia w zakresie ekspozycji nieobsługiwanych i restrukturyzowanych ( EBA/GL/2018/10).</w:t>
      </w:r>
    </w:p>
    <w:p w:rsidR="00087A7A" w:rsidRPr="00087A7A" w:rsidRDefault="00087A7A" w:rsidP="00087A7A">
      <w:pPr>
        <w:rPr>
          <w:rFonts w:ascii="Arial" w:hAnsi="Arial" w:cs="Arial"/>
        </w:rPr>
      </w:pPr>
    </w:p>
    <w:p w:rsidR="00087A7A" w:rsidRPr="00087A7A" w:rsidRDefault="00087A7A" w:rsidP="00087A7A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Orzesko-Knurowski Bank Spółdzielczy z siedzibą w Knurowie informuje, że dok</w:t>
      </w:r>
      <w:r w:rsidRPr="00087A7A">
        <w:rPr>
          <w:rFonts w:ascii="Arial" w:hAnsi="Arial" w:cs="Arial"/>
        </w:rPr>
        <w:t>u</w:t>
      </w:r>
      <w:r w:rsidRPr="00087A7A">
        <w:rPr>
          <w:rFonts w:ascii="Arial" w:hAnsi="Arial" w:cs="Arial"/>
        </w:rPr>
        <w:t>ment Polityka informacyjna dotycząca adekwatności w obejmuje:</w:t>
      </w:r>
    </w:p>
    <w:p w:rsidR="00087A7A" w:rsidRPr="00087A7A" w:rsidRDefault="00087A7A" w:rsidP="00087A7A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zakres ogłaszanych przez Bank zgodnie z wymogami prawa informacji,</w:t>
      </w:r>
    </w:p>
    <w:p w:rsidR="00087A7A" w:rsidRPr="00087A7A" w:rsidRDefault="00087A7A" w:rsidP="00087A7A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określenie częstotliwości dokonywania ogłaszania informacji,</w:t>
      </w:r>
    </w:p>
    <w:p w:rsidR="00087A7A" w:rsidRPr="00087A7A" w:rsidRDefault="00087A7A" w:rsidP="00087A7A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formy i miejsca ogłaszania informacji,</w:t>
      </w:r>
    </w:p>
    <w:p w:rsidR="00087A7A" w:rsidRPr="00087A7A" w:rsidRDefault="00087A7A" w:rsidP="00087A7A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zasady zatwierdzenia i weryfikowania informacji podlegających ogłaszaniu.</w:t>
      </w:r>
    </w:p>
    <w:p w:rsidR="00087A7A" w:rsidRDefault="00087A7A" w:rsidP="00087A5A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03361">
        <w:rPr>
          <w:rFonts w:ascii="Arial" w:hAnsi="Arial" w:cs="Arial"/>
        </w:rPr>
        <w:t>Pełny zakres informacji o charakterze ilościowym i jakościowym dotyczący ad</w:t>
      </w:r>
      <w:r w:rsidRPr="00403361">
        <w:rPr>
          <w:rFonts w:ascii="Arial" w:hAnsi="Arial" w:cs="Arial"/>
        </w:rPr>
        <w:t>e</w:t>
      </w:r>
      <w:r w:rsidRPr="00403361">
        <w:rPr>
          <w:rFonts w:ascii="Arial" w:hAnsi="Arial" w:cs="Arial"/>
        </w:rPr>
        <w:t>kwatności kapitałowej, informacji podlegających ogłaszaniu zgodnie z Rekomend</w:t>
      </w:r>
      <w:r w:rsidRPr="00403361">
        <w:rPr>
          <w:rFonts w:ascii="Arial" w:hAnsi="Arial" w:cs="Arial"/>
        </w:rPr>
        <w:t>a</w:t>
      </w:r>
      <w:r w:rsidRPr="00403361">
        <w:rPr>
          <w:rFonts w:ascii="Arial" w:hAnsi="Arial" w:cs="Arial"/>
        </w:rPr>
        <w:t>cją P i M  oraz</w:t>
      </w:r>
      <w:r w:rsidRPr="00403361">
        <w:rPr>
          <w:rFonts w:ascii="Arial" w:hAnsi="Arial" w:cs="Arial"/>
          <w:bCs/>
        </w:rPr>
        <w:t xml:space="preserve">  Wytycznymi dotyczącymi ujawnienia w zakresie ekspozycji nieo</w:t>
      </w:r>
      <w:r w:rsidRPr="00403361">
        <w:rPr>
          <w:rFonts w:ascii="Arial" w:hAnsi="Arial" w:cs="Arial"/>
          <w:bCs/>
        </w:rPr>
        <w:t>b</w:t>
      </w:r>
      <w:r w:rsidRPr="00403361">
        <w:rPr>
          <w:rFonts w:ascii="Arial" w:hAnsi="Arial" w:cs="Arial"/>
          <w:bCs/>
        </w:rPr>
        <w:t>sługiwanych i restrukturyzowanych ( EBA/GL/2018/10)</w:t>
      </w:r>
      <w:r w:rsidRPr="00403361">
        <w:rPr>
          <w:rFonts w:ascii="Arial" w:hAnsi="Arial" w:cs="Arial"/>
        </w:rPr>
        <w:t xml:space="preserve"> Bank ujawnia z częstotliw</w:t>
      </w:r>
      <w:r w:rsidRPr="00403361">
        <w:rPr>
          <w:rFonts w:ascii="Arial" w:hAnsi="Arial" w:cs="Arial"/>
        </w:rPr>
        <w:t>o</w:t>
      </w:r>
      <w:r w:rsidRPr="00403361">
        <w:rPr>
          <w:rFonts w:ascii="Arial" w:hAnsi="Arial" w:cs="Arial"/>
        </w:rPr>
        <w:t>ścią roczną, w terminie publikacji zatwierdzonego przez Zebranie Przedstawicieli rocznego sprawozdania finansowego Banku.</w:t>
      </w:r>
    </w:p>
    <w:p w:rsidR="00403361" w:rsidRPr="00403361" w:rsidRDefault="00403361" w:rsidP="00403361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403361">
        <w:rPr>
          <w:rFonts w:ascii="Arial" w:hAnsi="Arial" w:cs="Arial"/>
        </w:rPr>
        <w:t>Bank raz na pół roku ujawnia najważniejsze wskaźniki, o których mowa w art. 447 Rozporządzenia w terminie do 30 września.</w:t>
      </w:r>
    </w:p>
    <w:p w:rsidR="00087A7A" w:rsidRPr="00087A7A" w:rsidRDefault="00087A7A" w:rsidP="00087A7A">
      <w:pPr>
        <w:numPr>
          <w:ilvl w:val="0"/>
          <w:numId w:val="40"/>
        </w:numPr>
        <w:suppressAutoHyphens w:val="0"/>
        <w:spacing w:after="12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 xml:space="preserve">Polityka informacyjna Orzesko-Knurowskiego Banku Spółdzielczego z siedzibą w Knurowie dotycząca adekwatności kapitałowej, informacji podlegających ogłaszaniu zgodnie z Rekomendacją P i M  oraz </w:t>
      </w:r>
      <w:r w:rsidRPr="00087A7A">
        <w:rPr>
          <w:rFonts w:ascii="Arial" w:hAnsi="Arial" w:cs="Arial"/>
          <w:bCs/>
        </w:rPr>
        <w:t xml:space="preserve"> Wytycznymi dotyczącymi ujawnienia w zakr</w:t>
      </w:r>
      <w:r w:rsidRPr="00087A7A">
        <w:rPr>
          <w:rFonts w:ascii="Arial" w:hAnsi="Arial" w:cs="Arial"/>
          <w:bCs/>
        </w:rPr>
        <w:t>e</w:t>
      </w:r>
      <w:r w:rsidRPr="00087A7A">
        <w:rPr>
          <w:rFonts w:ascii="Arial" w:hAnsi="Arial" w:cs="Arial"/>
          <w:bCs/>
        </w:rPr>
        <w:t>sie ekspozycji nieobsługiwanych i restrukturyzowanych (EBA/GL/2018/10)</w:t>
      </w:r>
      <w:r w:rsidR="003465E4">
        <w:rPr>
          <w:rFonts w:ascii="Arial" w:hAnsi="Arial" w:cs="Arial"/>
          <w:bCs/>
        </w:rPr>
        <w:t xml:space="preserve"> </w:t>
      </w:r>
      <w:r w:rsidRPr="00087A7A">
        <w:rPr>
          <w:rFonts w:ascii="Arial" w:hAnsi="Arial" w:cs="Arial"/>
        </w:rPr>
        <w:t>publik</w:t>
      </w:r>
      <w:r w:rsidRPr="00087A7A">
        <w:rPr>
          <w:rFonts w:ascii="Arial" w:hAnsi="Arial" w:cs="Arial"/>
        </w:rPr>
        <w:t>o</w:t>
      </w:r>
      <w:r w:rsidRPr="00087A7A">
        <w:rPr>
          <w:rFonts w:ascii="Arial" w:hAnsi="Arial" w:cs="Arial"/>
        </w:rPr>
        <w:t xml:space="preserve">wana jest stronie internetowej </w:t>
      </w:r>
      <w:hyperlink r:id="rId11" w:history="1">
        <w:r w:rsidRPr="00087A7A">
          <w:rPr>
            <w:rStyle w:val="Hipercze"/>
            <w:rFonts w:ascii="Arial" w:hAnsi="Arial" w:cs="Arial"/>
          </w:rPr>
          <w:t>www.okbank.pl</w:t>
        </w:r>
      </w:hyperlink>
      <w:r w:rsidRPr="00087A7A">
        <w:rPr>
          <w:rFonts w:ascii="Arial" w:hAnsi="Arial" w:cs="Arial"/>
        </w:rPr>
        <w:t>. oraz udostępniana do wglądu Klie</w:t>
      </w:r>
      <w:r w:rsidRPr="00087A7A">
        <w:rPr>
          <w:rFonts w:ascii="Arial" w:hAnsi="Arial" w:cs="Arial"/>
        </w:rPr>
        <w:t>n</w:t>
      </w:r>
      <w:r w:rsidRPr="00087A7A">
        <w:rPr>
          <w:rFonts w:ascii="Arial" w:hAnsi="Arial" w:cs="Arial"/>
        </w:rPr>
        <w:t xml:space="preserve">tom w formie papierowej w  Centrali Banku w Knurowie,  ul. </w:t>
      </w:r>
      <w:r w:rsidR="006319B1">
        <w:rPr>
          <w:rFonts w:ascii="Arial" w:hAnsi="Arial" w:cs="Arial"/>
        </w:rPr>
        <w:t>Szpitalna 8A</w:t>
      </w:r>
      <w:r w:rsidRPr="00087A7A">
        <w:rPr>
          <w:rFonts w:ascii="Arial" w:hAnsi="Arial" w:cs="Arial"/>
        </w:rPr>
        <w:t xml:space="preserve"> w Sekret</w:t>
      </w:r>
      <w:r w:rsidRPr="00087A7A">
        <w:rPr>
          <w:rFonts w:ascii="Arial" w:hAnsi="Arial" w:cs="Arial"/>
        </w:rPr>
        <w:t>a</w:t>
      </w:r>
      <w:r w:rsidRPr="00087A7A">
        <w:rPr>
          <w:rFonts w:ascii="Arial" w:hAnsi="Arial" w:cs="Arial"/>
        </w:rPr>
        <w:t>riacie w każdy poniedziałek  w godzinach od 10</w:t>
      </w:r>
      <w:r w:rsidRPr="00087A7A">
        <w:rPr>
          <w:rFonts w:ascii="Arial" w:hAnsi="Arial" w:cs="Arial"/>
          <w:vertAlign w:val="superscript"/>
        </w:rPr>
        <w:t xml:space="preserve">00 </w:t>
      </w:r>
      <w:r w:rsidRPr="00087A7A">
        <w:rPr>
          <w:rFonts w:ascii="Arial" w:hAnsi="Arial" w:cs="Arial"/>
        </w:rPr>
        <w:t>do 11</w:t>
      </w:r>
      <w:r w:rsidRPr="00087A7A">
        <w:rPr>
          <w:rFonts w:ascii="Arial" w:hAnsi="Arial" w:cs="Arial"/>
          <w:vertAlign w:val="superscript"/>
        </w:rPr>
        <w:t>00</w:t>
      </w:r>
      <w:r w:rsidRPr="00087A7A">
        <w:rPr>
          <w:rFonts w:ascii="Arial" w:hAnsi="Arial" w:cs="Arial"/>
        </w:rPr>
        <w:t>.</w:t>
      </w:r>
    </w:p>
    <w:p w:rsidR="00087A7A" w:rsidRDefault="00087A7A" w:rsidP="00087A7A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087A7A">
        <w:rPr>
          <w:rFonts w:ascii="Arial" w:hAnsi="Arial" w:cs="Arial"/>
        </w:rPr>
        <w:t>Informacje, o których mowa w pkt. 2</w:t>
      </w:r>
      <w:r w:rsidR="00403361">
        <w:rPr>
          <w:rFonts w:ascii="Arial" w:hAnsi="Arial" w:cs="Arial"/>
        </w:rPr>
        <w:t xml:space="preserve"> i pkt. 3</w:t>
      </w:r>
      <w:r w:rsidRPr="00087A7A">
        <w:rPr>
          <w:rFonts w:ascii="Arial" w:hAnsi="Arial" w:cs="Arial"/>
        </w:rPr>
        <w:t xml:space="preserve">  ujawniane są w języku polskim i  ud</w:t>
      </w:r>
      <w:r w:rsidRPr="00087A7A">
        <w:rPr>
          <w:rFonts w:ascii="Arial" w:hAnsi="Arial" w:cs="Arial"/>
        </w:rPr>
        <w:t>o</w:t>
      </w:r>
      <w:r w:rsidRPr="00087A7A">
        <w:rPr>
          <w:rFonts w:ascii="Arial" w:hAnsi="Arial" w:cs="Arial"/>
        </w:rPr>
        <w:t xml:space="preserve">stępniane do wglądu Klientom w formie papierowej w  Centrali Banku w Knurowie,  ul. </w:t>
      </w:r>
      <w:r w:rsidR="006319B1">
        <w:rPr>
          <w:rFonts w:ascii="Arial" w:hAnsi="Arial" w:cs="Arial"/>
        </w:rPr>
        <w:t>Szpitalna 8A</w:t>
      </w:r>
      <w:r w:rsidRPr="00087A7A">
        <w:rPr>
          <w:rFonts w:ascii="Arial" w:hAnsi="Arial" w:cs="Arial"/>
        </w:rPr>
        <w:t xml:space="preserve"> w Sekretariacie w każdy poniedziałek  w godzinach od 10</w:t>
      </w:r>
      <w:r w:rsidRPr="00087A7A">
        <w:rPr>
          <w:rFonts w:ascii="Arial" w:hAnsi="Arial" w:cs="Arial"/>
          <w:vertAlign w:val="superscript"/>
        </w:rPr>
        <w:t xml:space="preserve">00 </w:t>
      </w:r>
      <w:r w:rsidRPr="00087A7A">
        <w:rPr>
          <w:rFonts w:ascii="Arial" w:hAnsi="Arial" w:cs="Arial"/>
        </w:rPr>
        <w:t>do 11</w:t>
      </w:r>
      <w:r w:rsidRPr="00087A7A">
        <w:rPr>
          <w:rFonts w:ascii="Arial" w:hAnsi="Arial" w:cs="Arial"/>
          <w:vertAlign w:val="superscript"/>
        </w:rPr>
        <w:t>00</w:t>
      </w:r>
      <w:r w:rsidRPr="00087A7A">
        <w:rPr>
          <w:rFonts w:ascii="Arial" w:hAnsi="Arial" w:cs="Arial"/>
        </w:rPr>
        <w:t xml:space="preserve"> oraz na stronie internetowej </w:t>
      </w:r>
      <w:hyperlink r:id="rId12" w:history="1">
        <w:r w:rsidR="0015246F" w:rsidRPr="000912EC">
          <w:rPr>
            <w:rStyle w:val="Hipercze"/>
            <w:rFonts w:ascii="Arial" w:hAnsi="Arial" w:cs="Arial"/>
          </w:rPr>
          <w:t>www.okbank.pl</w:t>
        </w:r>
      </w:hyperlink>
      <w:r w:rsidRPr="00087A7A">
        <w:rPr>
          <w:rFonts w:ascii="Arial" w:hAnsi="Arial" w:cs="Arial"/>
        </w:rPr>
        <w:t>.</w:t>
      </w:r>
    </w:p>
    <w:p w:rsidR="0015246F" w:rsidRPr="00087A7A" w:rsidRDefault="0015246F" w:rsidP="0015246F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3465E4" w:rsidRDefault="003465E4" w:rsidP="0015246F">
      <w:pPr>
        <w:spacing w:after="0" w:line="360" w:lineRule="auto"/>
        <w:ind w:left="2829"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087A7A" w:rsidRPr="0015246F" w:rsidRDefault="00087A7A" w:rsidP="0015246F">
      <w:pPr>
        <w:spacing w:after="0" w:line="360" w:lineRule="auto"/>
        <w:ind w:left="2829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15246F">
        <w:rPr>
          <w:rFonts w:ascii="Arial" w:hAnsi="Arial" w:cs="Arial"/>
          <w:b/>
          <w:bCs/>
          <w:sz w:val="20"/>
          <w:szCs w:val="20"/>
        </w:rPr>
        <w:t>ZARZĄD ORZESKO-KNUROWSKIEGO</w:t>
      </w:r>
    </w:p>
    <w:p w:rsidR="00087A7A" w:rsidRPr="0015246F" w:rsidRDefault="00087A7A" w:rsidP="0015246F">
      <w:pPr>
        <w:spacing w:after="0" w:line="360" w:lineRule="auto"/>
        <w:ind w:left="2829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15246F">
        <w:rPr>
          <w:rFonts w:ascii="Arial" w:hAnsi="Arial" w:cs="Arial"/>
          <w:b/>
          <w:bCs/>
          <w:sz w:val="20"/>
          <w:szCs w:val="20"/>
        </w:rPr>
        <w:t>BANKU SPÓŁDZIELCZEGO</w:t>
      </w:r>
    </w:p>
    <w:p w:rsidR="00087A7A" w:rsidRPr="001B3EFF" w:rsidRDefault="00087A7A">
      <w:pPr>
        <w:jc w:val="center"/>
        <w:rPr>
          <w:rFonts w:ascii="Arial" w:hAnsi="Arial" w:cs="Arial"/>
        </w:rPr>
      </w:pPr>
    </w:p>
    <w:sectPr w:rsidR="00087A7A" w:rsidRPr="001B3EFF" w:rsidSect="003465E4">
      <w:footerReference w:type="default" r:id="rId13"/>
      <w:pgSz w:w="11906" w:h="16838"/>
      <w:pgMar w:top="1417" w:right="1421" w:bottom="709" w:left="156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19" w:rsidRDefault="00E81319">
      <w:pPr>
        <w:spacing w:after="0" w:line="240" w:lineRule="auto"/>
      </w:pPr>
      <w:r>
        <w:separator/>
      </w:r>
    </w:p>
  </w:endnote>
  <w:endnote w:type="continuationSeparator" w:id="0">
    <w:p w:rsidR="00E81319" w:rsidRDefault="00E8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22221"/>
      <w:docPartObj>
        <w:docPartGallery w:val="Page Numbers (Bottom of Page)"/>
        <w:docPartUnique/>
      </w:docPartObj>
    </w:sdtPr>
    <w:sdtEndPr/>
    <w:sdtContent>
      <w:p w:rsidR="00231C52" w:rsidRDefault="00FF106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851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19" w:rsidRDefault="00E81319">
      <w:pPr>
        <w:spacing w:after="0" w:line="240" w:lineRule="auto"/>
      </w:pPr>
      <w:r>
        <w:separator/>
      </w:r>
    </w:p>
  </w:footnote>
  <w:footnote w:type="continuationSeparator" w:id="0">
    <w:p w:rsidR="00E81319" w:rsidRDefault="00E8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48"/>
    <w:multiLevelType w:val="hybridMultilevel"/>
    <w:tmpl w:val="9C2A8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51FF"/>
    <w:multiLevelType w:val="multilevel"/>
    <w:tmpl w:val="D9FEA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A091EF4"/>
    <w:multiLevelType w:val="multilevel"/>
    <w:tmpl w:val="66D0AA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F57D44"/>
    <w:multiLevelType w:val="multilevel"/>
    <w:tmpl w:val="FD5A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CFF5261"/>
    <w:multiLevelType w:val="multilevel"/>
    <w:tmpl w:val="490EFC5A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17C7AA9"/>
    <w:multiLevelType w:val="multilevel"/>
    <w:tmpl w:val="DC16B92E"/>
    <w:lvl w:ilvl="0">
      <w:start w:val="1"/>
      <w:numFmt w:val="decimal"/>
      <w:pStyle w:val="Tekstkomentarza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40E1581"/>
    <w:multiLevelType w:val="multilevel"/>
    <w:tmpl w:val="448C18AC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142C1FFB"/>
    <w:multiLevelType w:val="hybridMultilevel"/>
    <w:tmpl w:val="4F167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2AC3F6">
      <w:start w:val="1"/>
      <w:numFmt w:val="lowerLetter"/>
      <w:lvlText w:val="%2)"/>
      <w:lvlJc w:val="left"/>
      <w:pPr>
        <w:ind w:left="1440" w:hanging="360"/>
      </w:pPr>
      <w:rPr>
        <w:rFonts w:ascii="Arial" w:eastAsia="Trebuchet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77AF"/>
    <w:multiLevelType w:val="multilevel"/>
    <w:tmpl w:val="6D249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6CF31EE"/>
    <w:multiLevelType w:val="multilevel"/>
    <w:tmpl w:val="435C8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215A42BE"/>
    <w:multiLevelType w:val="multilevel"/>
    <w:tmpl w:val="5F768E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18068AC"/>
    <w:multiLevelType w:val="hybridMultilevel"/>
    <w:tmpl w:val="BF0CCE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E2326"/>
    <w:multiLevelType w:val="hybridMultilevel"/>
    <w:tmpl w:val="E9C4BF9A"/>
    <w:lvl w:ilvl="0" w:tplc="C9CC24FA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4EFC"/>
    <w:multiLevelType w:val="multilevel"/>
    <w:tmpl w:val="9A4CD96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2EA52C46"/>
    <w:multiLevelType w:val="hybridMultilevel"/>
    <w:tmpl w:val="DDF82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BE76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0CC6F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57FCF"/>
    <w:multiLevelType w:val="multilevel"/>
    <w:tmpl w:val="1B56028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363E180E"/>
    <w:multiLevelType w:val="hybridMultilevel"/>
    <w:tmpl w:val="18524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01C44"/>
    <w:multiLevelType w:val="multilevel"/>
    <w:tmpl w:val="156E84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D3C6372"/>
    <w:multiLevelType w:val="hybridMultilevel"/>
    <w:tmpl w:val="69B8334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E173ABB"/>
    <w:multiLevelType w:val="multilevel"/>
    <w:tmpl w:val="B6FC69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41633925"/>
    <w:multiLevelType w:val="hybridMultilevel"/>
    <w:tmpl w:val="39D28B32"/>
    <w:lvl w:ilvl="0" w:tplc="71D2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D847FD"/>
    <w:multiLevelType w:val="hybridMultilevel"/>
    <w:tmpl w:val="001EBE26"/>
    <w:lvl w:ilvl="0" w:tplc="0415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3885A6C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44246EDE"/>
    <w:multiLevelType w:val="multilevel"/>
    <w:tmpl w:val="329256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4E13773"/>
    <w:multiLevelType w:val="multilevel"/>
    <w:tmpl w:val="DA9ADE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64E5BBB"/>
    <w:multiLevelType w:val="multilevel"/>
    <w:tmpl w:val="DEE4918A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48047E3E"/>
    <w:multiLevelType w:val="hybridMultilevel"/>
    <w:tmpl w:val="15107416"/>
    <w:lvl w:ilvl="0" w:tplc="5FDE5C72">
      <w:start w:val="1"/>
      <w:numFmt w:val="lowerLetter"/>
      <w:lvlText w:val="%1)"/>
      <w:lvlJc w:val="left"/>
      <w:pPr>
        <w:ind w:left="1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6">
    <w:nsid w:val="4BCF7DA9"/>
    <w:multiLevelType w:val="hybridMultilevel"/>
    <w:tmpl w:val="E8E2CA3E"/>
    <w:lvl w:ilvl="0" w:tplc="6B46D93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53924C0E"/>
    <w:multiLevelType w:val="hybridMultilevel"/>
    <w:tmpl w:val="166EC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F0372"/>
    <w:multiLevelType w:val="multilevel"/>
    <w:tmpl w:val="B1407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5D204FED"/>
    <w:multiLevelType w:val="multilevel"/>
    <w:tmpl w:val="DA9ADE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5F9F33C2"/>
    <w:multiLevelType w:val="multilevel"/>
    <w:tmpl w:val="9022067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F6687E"/>
    <w:multiLevelType w:val="multilevel"/>
    <w:tmpl w:val="D24421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3823E02"/>
    <w:multiLevelType w:val="multilevel"/>
    <w:tmpl w:val="4B486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680B499F"/>
    <w:multiLevelType w:val="hybridMultilevel"/>
    <w:tmpl w:val="3E0CB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E8EB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81FB3"/>
    <w:multiLevelType w:val="multilevel"/>
    <w:tmpl w:val="9530D4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69AB1E53"/>
    <w:multiLevelType w:val="multilevel"/>
    <w:tmpl w:val="406AB3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9B800ED"/>
    <w:multiLevelType w:val="multilevel"/>
    <w:tmpl w:val="61B007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>
    <w:nsid w:val="734A3D41"/>
    <w:multiLevelType w:val="multilevel"/>
    <w:tmpl w:val="6C0EAF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366673E"/>
    <w:multiLevelType w:val="multilevel"/>
    <w:tmpl w:val="ED0C9E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A1F462D"/>
    <w:multiLevelType w:val="multilevel"/>
    <w:tmpl w:val="C994B5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7C342AAC"/>
    <w:multiLevelType w:val="multilevel"/>
    <w:tmpl w:val="6E6213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3"/>
  </w:num>
  <w:num w:numId="4">
    <w:abstractNumId w:val="35"/>
  </w:num>
  <w:num w:numId="5">
    <w:abstractNumId w:val="38"/>
  </w:num>
  <w:num w:numId="6">
    <w:abstractNumId w:val="2"/>
  </w:num>
  <w:num w:numId="7">
    <w:abstractNumId w:val="8"/>
  </w:num>
  <w:num w:numId="8">
    <w:abstractNumId w:val="36"/>
  </w:num>
  <w:num w:numId="9">
    <w:abstractNumId w:val="1"/>
  </w:num>
  <w:num w:numId="10">
    <w:abstractNumId w:val="40"/>
  </w:num>
  <w:num w:numId="11">
    <w:abstractNumId w:val="37"/>
  </w:num>
  <w:num w:numId="12">
    <w:abstractNumId w:val="28"/>
  </w:num>
  <w:num w:numId="13">
    <w:abstractNumId w:val="31"/>
  </w:num>
  <w:num w:numId="14">
    <w:abstractNumId w:val="9"/>
  </w:num>
  <w:num w:numId="15">
    <w:abstractNumId w:val="19"/>
  </w:num>
  <w:num w:numId="16">
    <w:abstractNumId w:val="3"/>
  </w:num>
  <w:num w:numId="17">
    <w:abstractNumId w:val="34"/>
  </w:num>
  <w:num w:numId="18">
    <w:abstractNumId w:val="4"/>
  </w:num>
  <w:num w:numId="19">
    <w:abstractNumId w:val="24"/>
  </w:num>
  <w:num w:numId="20">
    <w:abstractNumId w:val="30"/>
  </w:num>
  <w:num w:numId="21">
    <w:abstractNumId w:val="13"/>
  </w:num>
  <w:num w:numId="22">
    <w:abstractNumId w:val="10"/>
  </w:num>
  <w:num w:numId="23">
    <w:abstractNumId w:val="22"/>
  </w:num>
  <w:num w:numId="24">
    <w:abstractNumId w:val="39"/>
  </w:num>
  <w:num w:numId="25">
    <w:abstractNumId w:val="15"/>
  </w:num>
  <w:num w:numId="26">
    <w:abstractNumId w:val="17"/>
  </w:num>
  <w:num w:numId="27">
    <w:abstractNumId w:val="6"/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16"/>
  </w:num>
  <w:num w:numId="33">
    <w:abstractNumId w:val="7"/>
  </w:num>
  <w:num w:numId="34">
    <w:abstractNumId w:val="20"/>
  </w:num>
  <w:num w:numId="35">
    <w:abstractNumId w:val="21"/>
  </w:num>
  <w:num w:numId="36">
    <w:abstractNumId w:val="33"/>
  </w:num>
  <w:num w:numId="37">
    <w:abstractNumId w:val="26"/>
  </w:num>
  <w:num w:numId="38">
    <w:abstractNumId w:val="18"/>
  </w:num>
  <w:num w:numId="39">
    <w:abstractNumId w:val="0"/>
  </w:num>
  <w:num w:numId="40">
    <w:abstractNumId w:val="27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52"/>
    <w:rsid w:val="0003140A"/>
    <w:rsid w:val="00084F4F"/>
    <w:rsid w:val="00087A7A"/>
    <w:rsid w:val="000D1A96"/>
    <w:rsid w:val="0015246F"/>
    <w:rsid w:val="001B3EFF"/>
    <w:rsid w:val="00217410"/>
    <w:rsid w:val="00231C52"/>
    <w:rsid w:val="0028106B"/>
    <w:rsid w:val="002B262D"/>
    <w:rsid w:val="00321839"/>
    <w:rsid w:val="003465E4"/>
    <w:rsid w:val="00372238"/>
    <w:rsid w:val="00403361"/>
    <w:rsid w:val="004530ED"/>
    <w:rsid w:val="00585815"/>
    <w:rsid w:val="005E1CE2"/>
    <w:rsid w:val="006173EF"/>
    <w:rsid w:val="006319B1"/>
    <w:rsid w:val="00645726"/>
    <w:rsid w:val="006D5939"/>
    <w:rsid w:val="00760CCB"/>
    <w:rsid w:val="007A3369"/>
    <w:rsid w:val="007A5D91"/>
    <w:rsid w:val="007E66B1"/>
    <w:rsid w:val="008360C7"/>
    <w:rsid w:val="008A2F60"/>
    <w:rsid w:val="00983CF1"/>
    <w:rsid w:val="00985CCD"/>
    <w:rsid w:val="009864FF"/>
    <w:rsid w:val="00A03FCF"/>
    <w:rsid w:val="00A16E14"/>
    <w:rsid w:val="00AB3635"/>
    <w:rsid w:val="00B63A96"/>
    <w:rsid w:val="00B90231"/>
    <w:rsid w:val="00BC47C7"/>
    <w:rsid w:val="00C5171F"/>
    <w:rsid w:val="00C66973"/>
    <w:rsid w:val="00C93840"/>
    <w:rsid w:val="00D834D5"/>
    <w:rsid w:val="00DB31FF"/>
    <w:rsid w:val="00E66E9B"/>
    <w:rsid w:val="00E81319"/>
    <w:rsid w:val="00E851B0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56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7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C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BC702C"/>
    <w:rPr>
      <w:color w:val="0000FF" w:themeColor="hyperlink"/>
      <w:u w:val="single"/>
    </w:rPr>
  </w:style>
  <w:style w:type="character" w:customStyle="1" w:styleId="Teksttreci2">
    <w:name w:val="Tekst treści (2)_"/>
    <w:link w:val="Teksttreci20"/>
    <w:qFormat/>
    <w:rsid w:val="00A86693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link w:val="Teksttreci40"/>
    <w:qFormat/>
    <w:rsid w:val="00A86693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486C"/>
  </w:style>
  <w:style w:type="character" w:customStyle="1" w:styleId="StopkaZnak">
    <w:name w:val="Stopka Znak"/>
    <w:basedOn w:val="Domylnaczcionkaakapitu"/>
    <w:link w:val="Stopka"/>
    <w:uiPriority w:val="99"/>
    <w:qFormat/>
    <w:rsid w:val="0069486C"/>
  </w:style>
  <w:style w:type="character" w:customStyle="1" w:styleId="TekstpodstawowyZnak">
    <w:name w:val="Tekst podstawowy Znak"/>
    <w:basedOn w:val="Domylnaczcionkaakapitu"/>
    <w:link w:val="Tekstpodstawowy"/>
    <w:qFormat/>
    <w:rsid w:val="00084AFB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948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84AFB"/>
    <w:pPr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C702C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BC702C"/>
    <w:pPr>
      <w:spacing w:after="100"/>
    </w:pPr>
  </w:style>
  <w:style w:type="paragraph" w:customStyle="1" w:styleId="Tekstkomentarza1">
    <w:name w:val="Tekst komentarza1"/>
    <w:basedOn w:val="Normalny"/>
    <w:qFormat/>
    <w:rsid w:val="00BC702C"/>
    <w:pPr>
      <w:numPr>
        <w:numId w:val="2"/>
      </w:numPr>
      <w:spacing w:after="0" w:line="264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vertAlign w:val="subscript"/>
      <w:lang w:eastAsia="ar-SA"/>
    </w:rPr>
  </w:style>
  <w:style w:type="paragraph" w:customStyle="1" w:styleId="Teksttreci20">
    <w:name w:val="Tekst treści (2)"/>
    <w:basedOn w:val="Normalny"/>
    <w:link w:val="Teksttreci2"/>
    <w:qFormat/>
    <w:rsid w:val="00A86693"/>
    <w:pPr>
      <w:widowControl w:val="0"/>
      <w:shd w:val="clear" w:color="auto" w:fill="FFFFFF"/>
      <w:spacing w:before="3780" w:after="0" w:line="0" w:lineRule="atLeast"/>
      <w:ind w:hanging="600"/>
      <w:jc w:val="right"/>
    </w:pPr>
    <w:rPr>
      <w:rFonts w:ascii="Trebuchet MS" w:eastAsia="Trebuchet MS" w:hAnsi="Trebuchet MS" w:cs="Trebuchet MS"/>
    </w:rPr>
  </w:style>
  <w:style w:type="paragraph" w:customStyle="1" w:styleId="CM15">
    <w:name w:val="CM1+5"/>
    <w:basedOn w:val="Normalny"/>
    <w:next w:val="Normalny"/>
    <w:uiPriority w:val="99"/>
    <w:qFormat/>
    <w:rsid w:val="00A86693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5">
    <w:name w:val="CM3+5"/>
    <w:basedOn w:val="Normalny"/>
    <w:next w:val="Normalny"/>
    <w:uiPriority w:val="99"/>
    <w:qFormat/>
    <w:rsid w:val="00A86693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86693"/>
    <w:pPr>
      <w:widowControl w:val="0"/>
      <w:shd w:val="clear" w:color="auto" w:fill="FFFFFF"/>
      <w:spacing w:before="120" w:after="480" w:line="0" w:lineRule="atLeast"/>
      <w:jc w:val="both"/>
    </w:pPr>
    <w:rPr>
      <w:rFonts w:ascii="Trebuchet MS" w:eastAsia="Trebuchet MS" w:hAnsi="Trebuchet MS" w:cs="Trebuchet MS"/>
      <w:i/>
      <w:iCs/>
    </w:rPr>
  </w:style>
  <w:style w:type="paragraph" w:customStyle="1" w:styleId="CM45">
    <w:name w:val="CM4+5"/>
    <w:basedOn w:val="Normalny"/>
    <w:next w:val="Normalny"/>
    <w:uiPriority w:val="99"/>
    <w:qFormat/>
    <w:rsid w:val="00A86693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48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-justify">
    <w:name w:val="text-justify"/>
    <w:basedOn w:val="Normalny"/>
    <w:qFormat/>
    <w:rsid w:val="009765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A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A9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7A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7A7A"/>
    <w:rPr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465E4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7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C7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BC702C"/>
    <w:rPr>
      <w:color w:val="0000FF" w:themeColor="hyperlink"/>
      <w:u w:val="single"/>
    </w:rPr>
  </w:style>
  <w:style w:type="character" w:customStyle="1" w:styleId="Teksttreci2">
    <w:name w:val="Tekst treści (2)_"/>
    <w:link w:val="Teksttreci20"/>
    <w:qFormat/>
    <w:rsid w:val="00A86693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link w:val="Teksttreci40"/>
    <w:qFormat/>
    <w:rsid w:val="00A86693"/>
    <w:rPr>
      <w:rFonts w:ascii="Trebuchet MS" w:eastAsia="Trebuchet MS" w:hAnsi="Trebuchet MS" w:cs="Trebuchet MS"/>
      <w:i/>
      <w:iCs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486C"/>
  </w:style>
  <w:style w:type="character" w:customStyle="1" w:styleId="StopkaZnak">
    <w:name w:val="Stopka Znak"/>
    <w:basedOn w:val="Domylnaczcionkaakapitu"/>
    <w:link w:val="Stopka"/>
    <w:uiPriority w:val="99"/>
    <w:qFormat/>
    <w:rsid w:val="0069486C"/>
  </w:style>
  <w:style w:type="character" w:customStyle="1" w:styleId="TekstpodstawowyZnak">
    <w:name w:val="Tekst podstawowy Znak"/>
    <w:basedOn w:val="Domylnaczcionkaakapitu"/>
    <w:link w:val="Tekstpodstawowy"/>
    <w:qFormat/>
    <w:rsid w:val="00084AFB"/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948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84AFB"/>
    <w:pPr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vertAlign w:val="subscript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C702C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BC702C"/>
    <w:pPr>
      <w:spacing w:after="100"/>
    </w:pPr>
  </w:style>
  <w:style w:type="paragraph" w:customStyle="1" w:styleId="Tekstkomentarza1">
    <w:name w:val="Tekst komentarza1"/>
    <w:basedOn w:val="Normalny"/>
    <w:qFormat/>
    <w:rsid w:val="00BC702C"/>
    <w:pPr>
      <w:numPr>
        <w:numId w:val="2"/>
      </w:numPr>
      <w:spacing w:after="0" w:line="264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vertAlign w:val="subscript"/>
      <w:lang w:eastAsia="ar-SA"/>
    </w:rPr>
  </w:style>
  <w:style w:type="paragraph" w:customStyle="1" w:styleId="Teksttreci20">
    <w:name w:val="Tekst treści (2)"/>
    <w:basedOn w:val="Normalny"/>
    <w:link w:val="Teksttreci2"/>
    <w:qFormat/>
    <w:rsid w:val="00A86693"/>
    <w:pPr>
      <w:widowControl w:val="0"/>
      <w:shd w:val="clear" w:color="auto" w:fill="FFFFFF"/>
      <w:spacing w:before="3780" w:after="0" w:line="0" w:lineRule="atLeast"/>
      <w:ind w:hanging="600"/>
      <w:jc w:val="right"/>
    </w:pPr>
    <w:rPr>
      <w:rFonts w:ascii="Trebuchet MS" w:eastAsia="Trebuchet MS" w:hAnsi="Trebuchet MS" w:cs="Trebuchet MS"/>
    </w:rPr>
  </w:style>
  <w:style w:type="paragraph" w:customStyle="1" w:styleId="CM15">
    <w:name w:val="CM1+5"/>
    <w:basedOn w:val="Normalny"/>
    <w:next w:val="Normalny"/>
    <w:uiPriority w:val="99"/>
    <w:qFormat/>
    <w:rsid w:val="00A86693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5">
    <w:name w:val="CM3+5"/>
    <w:basedOn w:val="Normalny"/>
    <w:next w:val="Normalny"/>
    <w:uiPriority w:val="99"/>
    <w:qFormat/>
    <w:rsid w:val="00A86693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eksttreci40">
    <w:name w:val="Tekst treści (4)"/>
    <w:basedOn w:val="Normalny"/>
    <w:link w:val="Teksttreci4"/>
    <w:qFormat/>
    <w:rsid w:val="00A86693"/>
    <w:pPr>
      <w:widowControl w:val="0"/>
      <w:shd w:val="clear" w:color="auto" w:fill="FFFFFF"/>
      <w:spacing w:before="120" w:after="480" w:line="0" w:lineRule="atLeast"/>
      <w:jc w:val="both"/>
    </w:pPr>
    <w:rPr>
      <w:rFonts w:ascii="Trebuchet MS" w:eastAsia="Trebuchet MS" w:hAnsi="Trebuchet MS" w:cs="Trebuchet MS"/>
      <w:i/>
      <w:iCs/>
    </w:rPr>
  </w:style>
  <w:style w:type="paragraph" w:customStyle="1" w:styleId="CM45">
    <w:name w:val="CM4+5"/>
    <w:basedOn w:val="Normalny"/>
    <w:next w:val="Normalny"/>
    <w:uiPriority w:val="99"/>
    <w:qFormat/>
    <w:rsid w:val="00A86693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48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-justify">
    <w:name w:val="text-justify"/>
    <w:basedOn w:val="Normalny"/>
    <w:qFormat/>
    <w:rsid w:val="009765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A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A9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7A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7A7A"/>
    <w:rPr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3465E4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ban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ban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kban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ban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3132</Words>
  <Characters>18795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Agnieszka Synowiec</cp:lastModifiedBy>
  <cp:revision>1</cp:revision>
  <dcterms:created xsi:type="dcterms:W3CDTF">2021-06-25T07:49:00Z</dcterms:created>
  <dcterms:modified xsi:type="dcterms:W3CDTF">2021-06-25T07:49:00Z</dcterms:modified>
  <dc:language>pl-PL</dc:language>
</cp:coreProperties>
</file>